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97150" w14:textId="551E0274" w:rsidR="00083454" w:rsidRDefault="00083454" w:rsidP="00013CB8">
      <w:pPr>
        <w:shd w:val="clear" w:color="auto" w:fill="FAF9F8"/>
        <w:spacing w:after="120" w:line="276" w:lineRule="auto"/>
        <w:jc w:val="right"/>
        <w:rPr>
          <w:rFonts w:ascii="Arial" w:eastAsia="Times New Roman" w:hAnsi="Arial" w:cs="Arial"/>
          <w:b/>
          <w:bCs/>
          <w:sz w:val="28"/>
          <w:szCs w:val="28"/>
          <w:u w:val="single"/>
          <w:lang w:eastAsia="en-NZ"/>
        </w:rPr>
      </w:pPr>
      <w:r w:rsidRPr="00FB26E9">
        <w:rPr>
          <w:rFonts w:ascii="Arial" w:eastAsia="Times New Roman" w:hAnsi="Arial" w:cs="Arial"/>
          <w:b/>
          <w:bCs/>
          <w:noProof/>
          <w:sz w:val="28"/>
          <w:szCs w:val="28"/>
          <w:lang w:eastAsia="en-NZ"/>
        </w:rPr>
        <w:drawing>
          <wp:inline distT="0" distB="0" distL="0" distR="0" wp14:anchorId="7B50FC0C" wp14:editId="435DA298">
            <wp:extent cx="1225320" cy="762000"/>
            <wp:effectExtent l="0" t="0" r="0" b="0"/>
            <wp:docPr id="11" name="Picture 10" descr="A picture containing drawing&#10;&#10;Description automatically generated">
              <a:extLst xmlns:a="http://schemas.openxmlformats.org/drawingml/2006/main">
                <a:ext uri="{FF2B5EF4-FFF2-40B4-BE49-F238E27FC236}">
                  <a16:creationId xmlns:a16="http://schemas.microsoft.com/office/drawing/2014/main" id="{38C89899-5F99-48A4-B2AF-D1CC59F62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drawing&#10;&#10;Description automatically generated">
                      <a:extLst>
                        <a:ext uri="{FF2B5EF4-FFF2-40B4-BE49-F238E27FC236}">
                          <a16:creationId xmlns:a16="http://schemas.microsoft.com/office/drawing/2014/main" id="{38C89899-5F99-48A4-B2AF-D1CC59F62E0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b="3211"/>
                    <a:stretch/>
                  </pic:blipFill>
                  <pic:spPr bwMode="auto">
                    <a:xfrm>
                      <a:off x="0" y="0"/>
                      <a:ext cx="1232640" cy="766552"/>
                    </a:xfrm>
                    <a:prstGeom prst="rect">
                      <a:avLst/>
                    </a:prstGeom>
                    <a:ln>
                      <a:noFill/>
                    </a:ln>
                    <a:extLst>
                      <a:ext uri="{53640926-AAD7-44D8-BBD7-CCE9431645EC}">
                        <a14:shadowObscured xmlns:a14="http://schemas.microsoft.com/office/drawing/2010/main"/>
                      </a:ext>
                    </a:extLst>
                  </pic:spPr>
                </pic:pic>
              </a:graphicData>
            </a:graphic>
          </wp:inline>
        </w:drawing>
      </w:r>
    </w:p>
    <w:p w14:paraId="26ACD71C" w14:textId="51FD0B41" w:rsidR="004B6DBD" w:rsidRPr="00232044" w:rsidRDefault="005B6041" w:rsidP="001B608D">
      <w:pPr>
        <w:shd w:val="clear" w:color="auto" w:fill="FAF9F8"/>
        <w:spacing w:after="120" w:line="276" w:lineRule="auto"/>
        <w:rPr>
          <w:rFonts w:ascii="Arial" w:eastAsia="Times New Roman" w:hAnsi="Arial" w:cs="Arial"/>
          <w:b/>
          <w:bCs/>
          <w:color w:val="0070C0"/>
          <w:sz w:val="36"/>
          <w:szCs w:val="36"/>
          <w:lang w:eastAsia="en-NZ"/>
        </w:rPr>
      </w:pPr>
      <w:r>
        <w:rPr>
          <w:rFonts w:ascii="Arial" w:eastAsia="Times New Roman" w:hAnsi="Arial" w:cs="Arial"/>
          <w:b/>
          <w:bCs/>
          <w:color w:val="0070C0"/>
          <w:sz w:val="36"/>
          <w:szCs w:val="36"/>
          <w:lang w:eastAsia="en-NZ"/>
        </w:rPr>
        <w:t>S</w:t>
      </w:r>
      <w:r w:rsidR="004B6DBD" w:rsidRPr="00232044">
        <w:rPr>
          <w:rFonts w:ascii="Arial" w:eastAsia="Times New Roman" w:hAnsi="Arial" w:cs="Arial"/>
          <w:b/>
          <w:bCs/>
          <w:color w:val="0070C0"/>
          <w:sz w:val="36"/>
          <w:szCs w:val="36"/>
          <w:lang w:eastAsia="en-NZ"/>
        </w:rPr>
        <w:t>tudent assessment during COVID-19</w:t>
      </w:r>
    </w:p>
    <w:p w14:paraId="0BE61C41" w14:textId="73A59E2B" w:rsidR="00232044" w:rsidRDefault="002141EF" w:rsidP="005D3356">
      <w:pPr>
        <w:shd w:val="clear" w:color="auto" w:fill="FAF9F8"/>
        <w:spacing w:after="120" w:line="276" w:lineRule="auto"/>
        <w:rPr>
          <w:rFonts w:ascii="Arial" w:eastAsia="Times New Roman" w:hAnsi="Arial" w:cs="Arial"/>
          <w:lang w:eastAsia="en-NZ"/>
        </w:rPr>
      </w:pPr>
      <w:r w:rsidRPr="00232044">
        <w:rPr>
          <w:rFonts w:ascii="Arial" w:eastAsia="Times New Roman" w:hAnsi="Arial" w:cs="Arial"/>
          <w:noProof/>
          <w:color w:val="0070C0"/>
          <w:sz w:val="28"/>
          <w:szCs w:val="28"/>
          <w:lang w:eastAsia="en-NZ"/>
        </w:rPr>
        <mc:AlternateContent>
          <mc:Choice Requires="wps">
            <w:drawing>
              <wp:anchor distT="0" distB="0" distL="114300" distR="114300" simplePos="0" relativeHeight="251658240" behindDoc="0" locked="0" layoutInCell="1" allowOverlap="1" wp14:anchorId="0A747F5F" wp14:editId="1112ECF5">
                <wp:simplePos x="0" y="0"/>
                <wp:positionH relativeFrom="margin">
                  <wp:align>left</wp:align>
                </wp:positionH>
                <wp:positionV relativeFrom="paragraph">
                  <wp:posOffset>14393</wp:posOffset>
                </wp:positionV>
                <wp:extent cx="4171950" cy="10584"/>
                <wp:effectExtent l="19050" t="19050" r="19050" b="27940"/>
                <wp:wrapNone/>
                <wp:docPr id="15" name="Straight Connector 14">
                  <a:extLst xmlns:a="http://schemas.openxmlformats.org/drawingml/2006/main">
                    <a:ext uri="{FF2B5EF4-FFF2-40B4-BE49-F238E27FC236}">
                      <a16:creationId xmlns:a16="http://schemas.microsoft.com/office/drawing/2014/main" id="{EA56CFDC-2D4A-469E-B315-83ABE4D097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1950" cy="10584"/>
                        </a:xfrm>
                        <a:prstGeom prst="line">
                          <a:avLst/>
                        </a:prstGeom>
                        <a:ln w="38100">
                          <a:solidFill>
                            <a:srgbClr val="E318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30D5D" id="Straight Connector 14"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3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" strokecolor="#e31837" strokeweight="3pt">
                <v:stroke joinstyle="miter"/>
                <o:lock v:ext="edit" shapetype="f"/>
                <w10:wrap anchorx="margin"/>
              </v:line>
            </w:pict>
          </mc:Fallback>
        </mc:AlternateContent>
      </w:r>
    </w:p>
    <w:p w14:paraId="4FC5081A" w14:textId="6BF75E36" w:rsidR="004B6DBD" w:rsidRPr="009222D0" w:rsidRDefault="004B6DBD" w:rsidP="005D3356">
      <w:pPr>
        <w:shd w:val="clear" w:color="auto" w:fill="FAF9F8"/>
        <w:spacing w:after="120" w:line="276" w:lineRule="auto"/>
        <w:rPr>
          <w:rFonts w:ascii="Arial" w:eastAsia="Times New Roman" w:hAnsi="Arial" w:cs="Arial"/>
          <w:lang w:eastAsia="en-NZ"/>
        </w:rPr>
      </w:pPr>
      <w:r w:rsidRPr="009222D0">
        <w:rPr>
          <w:rFonts w:ascii="Arial" w:eastAsia="Times New Roman" w:hAnsi="Arial" w:cs="Arial"/>
          <w:lang w:eastAsia="en-NZ"/>
        </w:rPr>
        <w:t xml:space="preserve">NZQA </w:t>
      </w:r>
      <w:r w:rsidR="00E37C56" w:rsidRPr="009222D0">
        <w:rPr>
          <w:rFonts w:ascii="Arial" w:eastAsia="Times New Roman" w:hAnsi="Arial" w:cs="Arial"/>
          <w:lang w:eastAsia="en-NZ"/>
        </w:rPr>
        <w:t>is helping schools to</w:t>
      </w:r>
      <w:r w:rsidRPr="009222D0">
        <w:rPr>
          <w:rFonts w:ascii="Arial" w:eastAsia="Times New Roman" w:hAnsi="Arial" w:cs="Arial"/>
          <w:lang w:eastAsia="en-NZ"/>
        </w:rPr>
        <w:t xml:space="preserve"> develop effective plans for assessment and </w:t>
      </w:r>
      <w:r w:rsidR="00013985" w:rsidRPr="009222D0">
        <w:rPr>
          <w:rFonts w:ascii="Arial" w:eastAsia="Times New Roman" w:hAnsi="Arial" w:cs="Arial"/>
          <w:lang w:eastAsia="en-NZ"/>
        </w:rPr>
        <w:t xml:space="preserve">NCEA </w:t>
      </w:r>
      <w:r w:rsidRPr="009222D0">
        <w:rPr>
          <w:rFonts w:ascii="Arial" w:eastAsia="Times New Roman" w:hAnsi="Arial" w:cs="Arial"/>
          <w:lang w:eastAsia="en-NZ"/>
        </w:rPr>
        <w:t>qualifications for students affected by COVID-19.</w:t>
      </w:r>
    </w:p>
    <w:p w14:paraId="54D4B51C" w14:textId="7E1460B1" w:rsidR="004B6DBD" w:rsidRPr="009222D0" w:rsidRDefault="004B6DBD" w:rsidP="005D3356">
      <w:pPr>
        <w:shd w:val="clear" w:color="auto" w:fill="FAF9F8"/>
        <w:spacing w:after="120" w:line="276" w:lineRule="auto"/>
        <w:rPr>
          <w:rFonts w:ascii="Arial" w:eastAsia="Times New Roman" w:hAnsi="Arial" w:cs="Arial"/>
          <w:lang w:eastAsia="en-NZ"/>
        </w:rPr>
      </w:pPr>
      <w:r w:rsidRPr="009222D0">
        <w:rPr>
          <w:rFonts w:ascii="Arial" w:eastAsia="Times New Roman" w:hAnsi="Arial" w:cs="Arial"/>
          <w:lang w:eastAsia="en-NZ"/>
        </w:rPr>
        <w:t xml:space="preserve">We will support your efforts to manage students’ learning programmes </w:t>
      </w:r>
      <w:r w:rsidR="00FC1EAA">
        <w:rPr>
          <w:rFonts w:ascii="Arial" w:eastAsia="Times New Roman" w:hAnsi="Arial" w:cs="Arial"/>
          <w:lang w:eastAsia="en-NZ"/>
        </w:rPr>
        <w:t>and</w:t>
      </w:r>
      <w:r w:rsidRPr="009222D0">
        <w:rPr>
          <w:rFonts w:ascii="Arial" w:eastAsia="Times New Roman" w:hAnsi="Arial" w:cs="Arial"/>
          <w:lang w:eastAsia="en-NZ"/>
        </w:rPr>
        <w:t xml:space="preserve"> meet assessment requirements</w:t>
      </w:r>
      <w:r w:rsidR="005D3356" w:rsidRPr="009222D0">
        <w:rPr>
          <w:rFonts w:ascii="Arial" w:eastAsia="Times New Roman" w:hAnsi="Arial" w:cs="Arial"/>
          <w:lang w:eastAsia="en-NZ"/>
        </w:rPr>
        <w:t>,</w:t>
      </w:r>
      <w:r w:rsidRPr="009222D0">
        <w:rPr>
          <w:rFonts w:ascii="Arial" w:eastAsia="Times New Roman" w:hAnsi="Arial" w:cs="Arial"/>
          <w:lang w:eastAsia="en-NZ"/>
        </w:rPr>
        <w:t xml:space="preserve"> </w:t>
      </w:r>
      <w:r w:rsidR="00FC1EAA" w:rsidRPr="009222D0">
        <w:rPr>
          <w:rFonts w:ascii="Arial" w:eastAsia="Times New Roman" w:hAnsi="Arial" w:cs="Arial"/>
          <w:lang w:eastAsia="en-NZ"/>
        </w:rPr>
        <w:t>considering</w:t>
      </w:r>
      <w:r w:rsidRPr="009222D0">
        <w:rPr>
          <w:rFonts w:ascii="Arial" w:eastAsia="Times New Roman" w:hAnsi="Arial" w:cs="Arial"/>
          <w:lang w:eastAsia="en-NZ"/>
        </w:rPr>
        <w:t xml:space="preserve"> </w:t>
      </w:r>
      <w:r w:rsidR="005D3356" w:rsidRPr="009222D0">
        <w:rPr>
          <w:rFonts w:ascii="Arial" w:eastAsia="Times New Roman" w:hAnsi="Arial" w:cs="Arial"/>
          <w:lang w:eastAsia="en-NZ"/>
        </w:rPr>
        <w:t xml:space="preserve">the </w:t>
      </w:r>
      <w:r w:rsidRPr="009222D0">
        <w:rPr>
          <w:rFonts w:ascii="Arial" w:eastAsia="Times New Roman" w:hAnsi="Arial" w:cs="Arial"/>
          <w:lang w:eastAsia="en-NZ"/>
        </w:rPr>
        <w:t>disruptions</w:t>
      </w:r>
      <w:r w:rsidR="005D3356" w:rsidRPr="009222D0">
        <w:rPr>
          <w:rFonts w:ascii="Arial" w:eastAsia="Times New Roman" w:hAnsi="Arial" w:cs="Arial"/>
          <w:lang w:eastAsia="en-NZ"/>
        </w:rPr>
        <w:t xml:space="preserve"> they are experiencing</w:t>
      </w:r>
      <w:r w:rsidRPr="009222D0">
        <w:rPr>
          <w:rFonts w:ascii="Arial" w:eastAsia="Times New Roman" w:hAnsi="Arial" w:cs="Arial"/>
          <w:lang w:eastAsia="en-NZ"/>
        </w:rPr>
        <w:t>.</w:t>
      </w:r>
    </w:p>
    <w:p w14:paraId="2681AB16" w14:textId="05707AAF" w:rsidR="004B6DBD" w:rsidRPr="009222D0" w:rsidRDefault="004B6DBD" w:rsidP="005D3356">
      <w:pPr>
        <w:shd w:val="clear" w:color="auto" w:fill="FAF9F8"/>
        <w:spacing w:after="120" w:line="276" w:lineRule="auto"/>
        <w:rPr>
          <w:rFonts w:ascii="Arial" w:eastAsia="Times New Roman" w:hAnsi="Arial" w:cs="Arial"/>
          <w:lang w:eastAsia="en-NZ"/>
        </w:rPr>
      </w:pPr>
      <w:r w:rsidRPr="009222D0">
        <w:rPr>
          <w:rFonts w:ascii="Arial" w:eastAsia="Times New Roman" w:hAnsi="Arial" w:cs="Arial"/>
          <w:lang w:eastAsia="en-NZ"/>
        </w:rPr>
        <w:t xml:space="preserve">Our focus is to </w:t>
      </w:r>
      <w:r w:rsidR="00C66729" w:rsidRPr="009222D0">
        <w:rPr>
          <w:rFonts w:ascii="Arial" w:eastAsia="Times New Roman" w:hAnsi="Arial" w:cs="Arial"/>
          <w:lang w:eastAsia="en-NZ"/>
        </w:rPr>
        <w:t xml:space="preserve">support all schools </w:t>
      </w:r>
      <w:r w:rsidR="00725309" w:rsidRPr="009222D0">
        <w:rPr>
          <w:rFonts w:ascii="Arial" w:eastAsia="Times New Roman" w:hAnsi="Arial" w:cs="Arial"/>
          <w:lang w:eastAsia="en-NZ"/>
        </w:rPr>
        <w:t xml:space="preserve">to provide students with a fair opportunity to complete </w:t>
      </w:r>
      <w:r w:rsidR="007F08F0" w:rsidRPr="009222D0">
        <w:rPr>
          <w:rFonts w:ascii="Arial" w:eastAsia="Times New Roman" w:hAnsi="Arial" w:cs="Arial"/>
          <w:lang w:eastAsia="en-NZ"/>
        </w:rPr>
        <w:t xml:space="preserve">assessments that may have been </w:t>
      </w:r>
      <w:r w:rsidR="002049CA" w:rsidRPr="009222D0">
        <w:rPr>
          <w:rFonts w:ascii="Arial" w:eastAsia="Times New Roman" w:hAnsi="Arial" w:cs="Arial"/>
          <w:lang w:eastAsia="en-NZ"/>
        </w:rPr>
        <w:t>disrupted</w:t>
      </w:r>
      <w:r w:rsidR="007F08F0" w:rsidRPr="009222D0">
        <w:rPr>
          <w:rFonts w:ascii="Arial" w:eastAsia="Times New Roman" w:hAnsi="Arial" w:cs="Arial"/>
          <w:lang w:eastAsia="en-NZ"/>
        </w:rPr>
        <w:t xml:space="preserve"> by Covid</w:t>
      </w:r>
      <w:r w:rsidR="00B829F8">
        <w:rPr>
          <w:rFonts w:ascii="Arial" w:eastAsia="Times New Roman" w:hAnsi="Arial" w:cs="Arial"/>
          <w:lang w:eastAsia="en-NZ"/>
        </w:rPr>
        <w:t>-19</w:t>
      </w:r>
      <w:r w:rsidR="0085234A">
        <w:rPr>
          <w:rFonts w:ascii="Arial" w:eastAsia="Times New Roman" w:hAnsi="Arial" w:cs="Arial"/>
          <w:lang w:eastAsia="en-NZ"/>
        </w:rPr>
        <w:t xml:space="preserve"> in 2021</w:t>
      </w:r>
      <w:r w:rsidR="002049CA" w:rsidRPr="009222D0">
        <w:rPr>
          <w:rFonts w:ascii="Arial" w:eastAsia="Times New Roman" w:hAnsi="Arial" w:cs="Arial"/>
          <w:lang w:eastAsia="en-NZ"/>
        </w:rPr>
        <w:t>.</w:t>
      </w:r>
      <w:bookmarkStart w:id="0" w:name="_GoBack"/>
      <w:bookmarkEnd w:id="0"/>
    </w:p>
    <w:tbl>
      <w:tblPr>
        <w:tblStyle w:val="TableGrid"/>
        <w:tblW w:w="0" w:type="auto"/>
        <w:tblLook w:val="04A0" w:firstRow="1" w:lastRow="0" w:firstColumn="1" w:lastColumn="0" w:noHBand="0" w:noVBand="1"/>
      </w:tblPr>
      <w:tblGrid>
        <w:gridCol w:w="3397"/>
        <w:gridCol w:w="2835"/>
        <w:gridCol w:w="2784"/>
      </w:tblGrid>
      <w:tr w:rsidR="004B6DBD" w:rsidRPr="009222D0" w14:paraId="51FE8A11" w14:textId="77777777" w:rsidTr="00013CB8">
        <w:tc>
          <w:tcPr>
            <w:tcW w:w="3397" w:type="dxa"/>
          </w:tcPr>
          <w:p w14:paraId="578D2091" w14:textId="77777777" w:rsidR="004B6DBD" w:rsidRPr="004E51AB" w:rsidRDefault="004B6DBD" w:rsidP="005D3356">
            <w:pPr>
              <w:spacing w:after="120" w:line="276" w:lineRule="auto"/>
              <w:rPr>
                <w:rFonts w:ascii="Arial" w:eastAsia="Times New Roman" w:hAnsi="Arial" w:cs="Arial"/>
                <w:b/>
                <w:bCs/>
                <w:color w:val="0070C0"/>
                <w:lang w:eastAsia="en-NZ"/>
              </w:rPr>
            </w:pPr>
            <w:r w:rsidRPr="004E51AB">
              <w:rPr>
                <w:rFonts w:ascii="Arial" w:eastAsia="Times New Roman" w:hAnsi="Arial" w:cs="Arial"/>
                <w:b/>
                <w:bCs/>
                <w:color w:val="0070C0"/>
                <w:lang w:eastAsia="en-NZ"/>
              </w:rPr>
              <w:t>Options available</w:t>
            </w:r>
          </w:p>
          <w:p w14:paraId="5C272FA5" w14:textId="7777777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The flexibility of the NCEA qualification enables a range of options.</w:t>
            </w:r>
          </w:p>
          <w:p w14:paraId="665BA607" w14:textId="7777777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Students can be assessed against fewer standards than planned for in a normal school year, and still meet the requirements for NCEA.</w:t>
            </w:r>
          </w:p>
          <w:p w14:paraId="0CF32DA6" w14:textId="77777777" w:rsidR="001A09DC"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 xml:space="preserve">NZQA can provide schools with advice and guidance on programme planning. </w:t>
            </w:r>
          </w:p>
          <w:p w14:paraId="64FD599F" w14:textId="61C99201"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This includes reducing the assessment load without compromising curriculum and programme integrity, or the students’ ability to gain qualifications.</w:t>
            </w:r>
          </w:p>
          <w:p w14:paraId="666404FF" w14:textId="1095FC90"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 xml:space="preserve">NZQA will </w:t>
            </w:r>
            <w:r w:rsidR="008D330C" w:rsidRPr="003A6442">
              <w:rPr>
                <w:rFonts w:ascii="Arial" w:eastAsia="Times New Roman" w:hAnsi="Arial" w:cs="Arial"/>
                <w:sz w:val="20"/>
                <w:szCs w:val="20"/>
                <w:lang w:eastAsia="en-NZ"/>
              </w:rPr>
              <w:t>liaise with schools directly about pending</w:t>
            </w:r>
            <w:r w:rsidRPr="003A6442">
              <w:rPr>
                <w:rFonts w:ascii="Arial" w:eastAsia="Times New Roman" w:hAnsi="Arial" w:cs="Arial"/>
                <w:sz w:val="20"/>
                <w:szCs w:val="20"/>
                <w:lang w:eastAsia="en-NZ"/>
              </w:rPr>
              <w:t xml:space="preserve"> Managing National Assessment reviews for 202</w:t>
            </w:r>
            <w:r w:rsidR="005D3356" w:rsidRPr="003A6442">
              <w:rPr>
                <w:rFonts w:ascii="Arial" w:eastAsia="Times New Roman" w:hAnsi="Arial" w:cs="Arial"/>
                <w:sz w:val="20"/>
                <w:szCs w:val="20"/>
                <w:lang w:eastAsia="en-NZ"/>
              </w:rPr>
              <w:t>1</w:t>
            </w:r>
            <w:r w:rsidR="008D330C" w:rsidRPr="003A6442">
              <w:rPr>
                <w:rFonts w:ascii="Arial" w:eastAsia="Times New Roman" w:hAnsi="Arial" w:cs="Arial"/>
                <w:sz w:val="20"/>
                <w:szCs w:val="20"/>
                <w:lang w:eastAsia="en-NZ"/>
              </w:rPr>
              <w:t>.</w:t>
            </w:r>
          </w:p>
        </w:tc>
        <w:tc>
          <w:tcPr>
            <w:tcW w:w="2835" w:type="dxa"/>
          </w:tcPr>
          <w:p w14:paraId="26209B7B" w14:textId="77777777" w:rsidR="004B6DBD" w:rsidRPr="004E51AB" w:rsidRDefault="004B6DBD" w:rsidP="005D3356">
            <w:pPr>
              <w:spacing w:after="120" w:line="276" w:lineRule="auto"/>
              <w:rPr>
                <w:rFonts w:ascii="Arial" w:eastAsia="Times New Roman" w:hAnsi="Arial" w:cs="Arial"/>
                <w:b/>
                <w:bCs/>
                <w:color w:val="0070C0"/>
                <w:sz w:val="20"/>
                <w:szCs w:val="20"/>
                <w:u w:val="single"/>
                <w:lang w:eastAsia="en-NZ"/>
              </w:rPr>
            </w:pPr>
            <w:r w:rsidRPr="004E51AB">
              <w:rPr>
                <w:rFonts w:ascii="Arial" w:eastAsia="Times New Roman" w:hAnsi="Arial" w:cs="Arial"/>
                <w:b/>
                <w:bCs/>
                <w:color w:val="0070C0"/>
                <w:lang w:eastAsia="en-NZ"/>
              </w:rPr>
              <w:t>Internal</w:t>
            </w:r>
          </w:p>
          <w:p w14:paraId="4BF9864A" w14:textId="7777777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For students in self-isolation or at home for a period of time, internal standards can be assessed using remote assessment conditions.</w:t>
            </w:r>
          </w:p>
          <w:p w14:paraId="3EA19F19" w14:textId="7777777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A simplified process is available for teachers to collect evidence for internal assessment.</w:t>
            </w:r>
          </w:p>
          <w:p w14:paraId="5961503B" w14:textId="3AF15F7D"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 xml:space="preserve">Teachers can use a template to </w:t>
            </w:r>
            <w:r w:rsidR="00370C66" w:rsidRPr="003A6442">
              <w:rPr>
                <w:rFonts w:ascii="Arial" w:eastAsia="Times New Roman" w:hAnsi="Arial" w:cs="Arial"/>
                <w:sz w:val="20"/>
                <w:szCs w:val="20"/>
                <w:lang w:eastAsia="en-NZ"/>
              </w:rPr>
              <w:t>record that they have sighted</w:t>
            </w:r>
            <w:r w:rsidRPr="003A6442">
              <w:rPr>
                <w:rFonts w:ascii="Arial" w:eastAsia="Times New Roman" w:hAnsi="Arial" w:cs="Arial"/>
                <w:sz w:val="20"/>
                <w:szCs w:val="20"/>
                <w:lang w:eastAsia="en-NZ"/>
              </w:rPr>
              <w:t xml:space="preserve"> evidence of achievement for both unit and achievement standards for the purpose of awarding grades.</w:t>
            </w:r>
          </w:p>
          <w:p w14:paraId="054FD296" w14:textId="7777777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This will save valuable teaching and learning time by reducing the need for formal assessment.</w:t>
            </w:r>
          </w:p>
        </w:tc>
        <w:tc>
          <w:tcPr>
            <w:tcW w:w="2784" w:type="dxa"/>
          </w:tcPr>
          <w:p w14:paraId="624E6E3A" w14:textId="77777777" w:rsidR="004B6DBD" w:rsidRPr="004E51AB" w:rsidRDefault="004B6DBD" w:rsidP="005D3356">
            <w:pPr>
              <w:spacing w:after="120" w:line="276" w:lineRule="auto"/>
              <w:rPr>
                <w:rFonts w:ascii="Arial" w:eastAsia="Times New Roman" w:hAnsi="Arial" w:cs="Arial"/>
                <w:b/>
                <w:bCs/>
                <w:color w:val="0070C0"/>
                <w:sz w:val="20"/>
                <w:szCs w:val="20"/>
                <w:u w:val="single"/>
                <w:lang w:eastAsia="en-NZ"/>
              </w:rPr>
            </w:pPr>
            <w:r w:rsidRPr="004E51AB">
              <w:rPr>
                <w:rFonts w:ascii="Arial" w:eastAsia="Times New Roman" w:hAnsi="Arial" w:cs="Arial"/>
                <w:b/>
                <w:bCs/>
                <w:color w:val="0070C0"/>
                <w:lang w:eastAsia="en-NZ"/>
              </w:rPr>
              <w:t>External</w:t>
            </w:r>
          </w:p>
          <w:p w14:paraId="75E78793" w14:textId="759F3FDB"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 xml:space="preserve">Schools </w:t>
            </w:r>
            <w:r w:rsidR="001A09DC" w:rsidRPr="003A6442">
              <w:rPr>
                <w:rFonts w:ascii="Arial" w:eastAsia="Times New Roman" w:hAnsi="Arial" w:cs="Arial"/>
                <w:sz w:val="20"/>
                <w:szCs w:val="20"/>
                <w:lang w:eastAsia="en-NZ"/>
              </w:rPr>
              <w:t>are required to</w:t>
            </w:r>
            <w:r w:rsidRPr="003A6442">
              <w:rPr>
                <w:rFonts w:ascii="Arial" w:eastAsia="Times New Roman" w:hAnsi="Arial" w:cs="Arial"/>
                <w:sz w:val="20"/>
                <w:szCs w:val="20"/>
                <w:lang w:eastAsia="en-NZ"/>
              </w:rPr>
              <w:t xml:space="preserve"> use the Unexpected Event Grade process to report results as a back-up in cases where a student cannot sit examinations.</w:t>
            </w:r>
          </w:p>
          <w:p w14:paraId="6A4963DB" w14:textId="3BC9BF2C" w:rsidR="00E53EE1"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The process is based on the collection of evidence of student achievement</w:t>
            </w:r>
            <w:r w:rsidR="007D4252" w:rsidRPr="003A6442">
              <w:rPr>
                <w:rFonts w:ascii="Arial" w:eastAsia="Times New Roman" w:hAnsi="Arial" w:cs="Arial"/>
                <w:sz w:val="20"/>
                <w:szCs w:val="20"/>
                <w:lang w:eastAsia="en-NZ"/>
              </w:rPr>
              <w:t xml:space="preserve"> from class</w:t>
            </w:r>
            <w:r w:rsidR="00D9427D" w:rsidRPr="003A6442">
              <w:rPr>
                <w:rFonts w:ascii="Arial" w:eastAsia="Times New Roman" w:hAnsi="Arial" w:cs="Arial"/>
                <w:sz w:val="20"/>
                <w:szCs w:val="20"/>
                <w:lang w:eastAsia="en-NZ"/>
              </w:rPr>
              <w:t xml:space="preserve"> work, tests or other preparation for external assessment</w:t>
            </w:r>
            <w:r w:rsidR="00E75CB1" w:rsidRPr="003A6442">
              <w:rPr>
                <w:rFonts w:ascii="Arial" w:eastAsia="Times New Roman" w:hAnsi="Arial" w:cs="Arial"/>
                <w:sz w:val="20"/>
                <w:szCs w:val="20"/>
                <w:lang w:eastAsia="en-NZ"/>
              </w:rPr>
              <w:t>.</w:t>
            </w:r>
            <w:r w:rsidRPr="003A6442">
              <w:rPr>
                <w:rFonts w:ascii="Arial" w:eastAsia="Times New Roman" w:hAnsi="Arial" w:cs="Arial"/>
                <w:sz w:val="20"/>
                <w:szCs w:val="20"/>
                <w:lang w:eastAsia="en-NZ"/>
              </w:rPr>
              <w:t xml:space="preserve"> </w:t>
            </w:r>
          </w:p>
          <w:p w14:paraId="64169928" w14:textId="31FDAE89"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Schools can use the same template approach to collect evidence for external achievement standards</w:t>
            </w:r>
            <w:r w:rsidR="00E53EE1" w:rsidRPr="003A6442">
              <w:rPr>
                <w:rFonts w:ascii="Arial" w:eastAsia="Times New Roman" w:hAnsi="Arial" w:cs="Arial"/>
                <w:sz w:val="20"/>
                <w:szCs w:val="20"/>
                <w:lang w:eastAsia="en-NZ"/>
              </w:rPr>
              <w:t xml:space="preserve"> as for internal standards</w:t>
            </w:r>
            <w:r w:rsidRPr="003A6442">
              <w:rPr>
                <w:rFonts w:ascii="Arial" w:eastAsia="Times New Roman" w:hAnsi="Arial" w:cs="Arial"/>
                <w:sz w:val="20"/>
                <w:szCs w:val="20"/>
                <w:lang w:eastAsia="en-NZ"/>
              </w:rPr>
              <w:t xml:space="preserve">. This could </w:t>
            </w:r>
            <w:r w:rsidR="001E7B5C">
              <w:rPr>
                <w:rFonts w:ascii="Arial" w:eastAsia="Times New Roman" w:hAnsi="Arial" w:cs="Arial"/>
                <w:sz w:val="20"/>
                <w:szCs w:val="20"/>
                <w:lang w:eastAsia="en-NZ"/>
              </w:rPr>
              <w:t>provide an alternative to</w:t>
            </w:r>
            <w:r w:rsidRPr="003A6442">
              <w:rPr>
                <w:rFonts w:ascii="Arial" w:eastAsia="Times New Roman" w:hAnsi="Arial" w:cs="Arial"/>
                <w:sz w:val="20"/>
                <w:szCs w:val="20"/>
                <w:lang w:eastAsia="en-NZ"/>
              </w:rPr>
              <w:t xml:space="preserve"> practice examinations.</w:t>
            </w:r>
          </w:p>
        </w:tc>
      </w:tr>
      <w:tr w:rsidR="004B6DBD" w:rsidRPr="009222D0" w14:paraId="1D0F08A9" w14:textId="77777777" w:rsidTr="00013CB8">
        <w:tc>
          <w:tcPr>
            <w:tcW w:w="9016" w:type="dxa"/>
            <w:gridSpan w:val="3"/>
          </w:tcPr>
          <w:p w14:paraId="2D0395A7" w14:textId="77777777" w:rsidR="004B6DBD" w:rsidRPr="00967CD4" w:rsidRDefault="004B6DBD" w:rsidP="005D3356">
            <w:pPr>
              <w:spacing w:after="120" w:line="276" w:lineRule="auto"/>
              <w:rPr>
                <w:rFonts w:ascii="Arial" w:eastAsia="Times New Roman" w:hAnsi="Arial" w:cs="Arial"/>
                <w:b/>
                <w:bCs/>
                <w:color w:val="0070C0"/>
                <w:sz w:val="20"/>
                <w:szCs w:val="20"/>
                <w:lang w:eastAsia="en-NZ"/>
              </w:rPr>
            </w:pPr>
            <w:r w:rsidRPr="00967CD4">
              <w:rPr>
                <w:rFonts w:ascii="Arial" w:eastAsia="Times New Roman" w:hAnsi="Arial" w:cs="Arial"/>
                <w:b/>
                <w:bCs/>
                <w:color w:val="0070C0"/>
                <w:sz w:val="20"/>
                <w:szCs w:val="20"/>
                <w:lang w:eastAsia="en-NZ"/>
              </w:rPr>
              <w:t>Communications and support</w:t>
            </w:r>
          </w:p>
          <w:p w14:paraId="7D90FB96" w14:textId="7777777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NZQA School Relationship Managers are maintaining regular communication and contact with schools. This allows NZQA to provide personalised support and timely response for school personnel.</w:t>
            </w:r>
          </w:p>
          <w:p w14:paraId="3E10941E" w14:textId="47B0AF0B"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Guidance and templates for collecting evidence are available for all teachers through the school’s NZQA secure login</w:t>
            </w:r>
            <w:r w:rsidR="004C5F35" w:rsidRPr="003A6442">
              <w:rPr>
                <w:rFonts w:ascii="Arial" w:eastAsia="Times New Roman" w:hAnsi="Arial" w:cs="Arial"/>
                <w:sz w:val="20"/>
                <w:szCs w:val="20"/>
                <w:lang w:eastAsia="en-NZ"/>
              </w:rPr>
              <w:t>, and subject pages</w:t>
            </w:r>
            <w:r w:rsidRPr="003A6442">
              <w:rPr>
                <w:rFonts w:ascii="Arial" w:eastAsia="Times New Roman" w:hAnsi="Arial" w:cs="Arial"/>
                <w:sz w:val="20"/>
                <w:szCs w:val="20"/>
                <w:lang w:eastAsia="en-NZ"/>
              </w:rPr>
              <w:t>. We will provide additional support to assist schools with entries, results, transferring students, and other data submission issues.</w:t>
            </w:r>
          </w:p>
        </w:tc>
      </w:tr>
    </w:tbl>
    <w:p w14:paraId="59F0E01C" w14:textId="77777777" w:rsidR="0048650F" w:rsidRDefault="0048650F">
      <w:pPr>
        <w:rPr>
          <w:rFonts w:ascii="Arial" w:eastAsia="Times New Roman" w:hAnsi="Arial" w:cs="Arial"/>
          <w:sz w:val="33"/>
          <w:szCs w:val="33"/>
          <w:lang w:eastAsia="en-NZ"/>
        </w:rPr>
      </w:pPr>
      <w:r>
        <w:rPr>
          <w:rFonts w:ascii="Arial" w:eastAsia="Times New Roman" w:hAnsi="Arial" w:cs="Arial"/>
          <w:sz w:val="33"/>
          <w:szCs w:val="33"/>
          <w:lang w:eastAsia="en-NZ"/>
        </w:rPr>
        <w:br w:type="page"/>
      </w:r>
    </w:p>
    <w:p w14:paraId="7F35CB91" w14:textId="77777777" w:rsidR="004B6DBD" w:rsidRPr="00232044" w:rsidRDefault="004B6DBD" w:rsidP="00BD79E7">
      <w:pPr>
        <w:spacing w:after="120" w:line="276" w:lineRule="auto"/>
        <w:rPr>
          <w:rFonts w:ascii="Arial" w:eastAsia="Times New Roman" w:hAnsi="Arial" w:cs="Arial"/>
          <w:b/>
          <w:bCs/>
          <w:color w:val="0070C0"/>
          <w:sz w:val="28"/>
          <w:szCs w:val="28"/>
          <w:lang w:eastAsia="en-NZ"/>
        </w:rPr>
      </w:pPr>
      <w:r w:rsidRPr="00232044">
        <w:rPr>
          <w:rFonts w:ascii="Arial" w:eastAsia="Times New Roman" w:hAnsi="Arial" w:cs="Arial"/>
          <w:b/>
          <w:bCs/>
          <w:color w:val="0070C0"/>
          <w:sz w:val="28"/>
          <w:szCs w:val="28"/>
          <w:lang w:eastAsia="en-NZ"/>
        </w:rPr>
        <w:lastRenderedPageBreak/>
        <w:t>Remote Assessment of Standards -</w:t>
      </w:r>
      <w:r w:rsidR="008C28E1" w:rsidRPr="00232044">
        <w:rPr>
          <w:rFonts w:ascii="Arial" w:eastAsia="Times New Roman" w:hAnsi="Arial" w:cs="Arial"/>
          <w:b/>
          <w:bCs/>
          <w:color w:val="0070C0"/>
          <w:sz w:val="28"/>
          <w:szCs w:val="28"/>
          <w:lang w:eastAsia="en-NZ"/>
        </w:rPr>
        <w:t xml:space="preserve"> </w:t>
      </w:r>
      <w:r w:rsidRPr="00232044">
        <w:rPr>
          <w:rFonts w:ascii="Arial" w:eastAsia="Times New Roman" w:hAnsi="Arial" w:cs="Arial"/>
          <w:b/>
          <w:bCs/>
          <w:color w:val="0070C0"/>
          <w:sz w:val="28"/>
          <w:szCs w:val="28"/>
          <w:lang w:eastAsia="en-NZ"/>
        </w:rPr>
        <w:t>Credible</w:t>
      </w:r>
      <w:r w:rsidR="005444E7" w:rsidRPr="00232044">
        <w:rPr>
          <w:rFonts w:ascii="Arial" w:eastAsia="Times New Roman" w:hAnsi="Arial" w:cs="Arial"/>
          <w:b/>
          <w:bCs/>
          <w:color w:val="0070C0"/>
          <w:sz w:val="28"/>
          <w:szCs w:val="28"/>
          <w:lang w:eastAsia="en-NZ"/>
        </w:rPr>
        <w:t xml:space="preserve"> </w:t>
      </w:r>
      <w:r w:rsidRPr="00232044">
        <w:rPr>
          <w:rFonts w:ascii="Arial" w:eastAsia="Times New Roman" w:hAnsi="Arial" w:cs="Arial"/>
          <w:b/>
          <w:bCs/>
          <w:color w:val="0070C0"/>
          <w:sz w:val="28"/>
          <w:szCs w:val="28"/>
          <w:lang w:eastAsia="en-NZ"/>
        </w:rPr>
        <w:t>Assessment Practice</w:t>
      </w:r>
    </w:p>
    <w:p w14:paraId="5A44E524" w14:textId="20176B80" w:rsidR="00232044" w:rsidRDefault="00232044" w:rsidP="005D3356">
      <w:pPr>
        <w:shd w:val="clear" w:color="auto" w:fill="FAF9F8"/>
        <w:spacing w:after="120" w:line="276" w:lineRule="auto"/>
        <w:rPr>
          <w:rFonts w:ascii="Arial" w:eastAsia="Times New Roman" w:hAnsi="Arial" w:cs="Arial"/>
          <w:lang w:eastAsia="en-NZ"/>
        </w:rPr>
      </w:pPr>
      <w:r w:rsidRPr="004E51AB">
        <w:rPr>
          <w:rFonts w:ascii="Arial" w:eastAsia="Times New Roman" w:hAnsi="Arial" w:cs="Arial"/>
          <w:noProof/>
          <w:color w:val="0070C0"/>
          <w:lang w:eastAsia="en-NZ"/>
        </w:rPr>
        <mc:AlternateContent>
          <mc:Choice Requires="wps">
            <w:drawing>
              <wp:anchor distT="0" distB="0" distL="114300" distR="114300" simplePos="0" relativeHeight="251658241" behindDoc="0" locked="0" layoutInCell="1" allowOverlap="1" wp14:anchorId="3D83C3AC" wp14:editId="0B4B2C7D">
                <wp:simplePos x="0" y="0"/>
                <wp:positionH relativeFrom="margin">
                  <wp:align>left</wp:align>
                </wp:positionH>
                <wp:positionV relativeFrom="paragraph">
                  <wp:posOffset>19628</wp:posOffset>
                </wp:positionV>
                <wp:extent cx="4310496" cy="0"/>
                <wp:effectExtent l="0" t="19050" r="33020" b="19050"/>
                <wp:wrapNone/>
                <wp:docPr id="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0496" cy="0"/>
                        </a:xfrm>
                        <a:prstGeom prst="line">
                          <a:avLst/>
                        </a:prstGeom>
                        <a:ln w="38100">
                          <a:solidFill>
                            <a:srgbClr val="E318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63C08" id="Straight Connector 14"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pt" to="3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" strokecolor="#e31837" strokeweight="3pt">
                <v:stroke joinstyle="miter"/>
                <o:lock v:ext="edit" shapetype="f"/>
                <w10:wrap anchorx="margin"/>
              </v:line>
            </w:pict>
          </mc:Fallback>
        </mc:AlternateContent>
      </w:r>
    </w:p>
    <w:p w14:paraId="2BF9591C" w14:textId="36853510" w:rsidR="004B6DBD" w:rsidRPr="003A6442" w:rsidRDefault="004B6DBD" w:rsidP="005D3356">
      <w:pPr>
        <w:shd w:val="clear" w:color="auto" w:fill="FAF9F8"/>
        <w:spacing w:after="120" w:line="276" w:lineRule="auto"/>
        <w:rPr>
          <w:rFonts w:ascii="Arial" w:eastAsia="Times New Roman" w:hAnsi="Arial" w:cs="Arial"/>
          <w:lang w:eastAsia="en-NZ"/>
        </w:rPr>
      </w:pPr>
      <w:r w:rsidRPr="003A6442">
        <w:rPr>
          <w:rFonts w:ascii="Arial" w:eastAsia="Times New Roman" w:hAnsi="Arial" w:cs="Arial"/>
          <w:lang w:eastAsia="en-NZ"/>
        </w:rPr>
        <w:t xml:space="preserve">Schools can continue assessing students against standards and reporting results, providing </w:t>
      </w:r>
      <w:r w:rsidR="00360823">
        <w:rPr>
          <w:rFonts w:ascii="Arial" w:eastAsia="Times New Roman" w:hAnsi="Arial" w:cs="Arial"/>
          <w:lang w:eastAsia="en-NZ"/>
        </w:rPr>
        <w:t>they</w:t>
      </w:r>
      <w:r w:rsidRPr="003A6442">
        <w:rPr>
          <w:rFonts w:ascii="Arial" w:eastAsia="Times New Roman" w:hAnsi="Arial" w:cs="Arial"/>
          <w:lang w:eastAsia="en-NZ"/>
        </w:rPr>
        <w:t xml:space="preserve"> maintain credible assessment practices. Reported results must be valid, authentic and verifiable.</w:t>
      </w:r>
    </w:p>
    <w:tbl>
      <w:tblPr>
        <w:tblStyle w:val="TableGrid"/>
        <w:tblW w:w="9214" w:type="dxa"/>
        <w:tblInd w:w="-5" w:type="dxa"/>
        <w:tblLook w:val="04A0" w:firstRow="1" w:lastRow="0" w:firstColumn="1" w:lastColumn="0" w:noHBand="0" w:noVBand="1"/>
      </w:tblPr>
      <w:tblGrid>
        <w:gridCol w:w="2694"/>
        <w:gridCol w:w="3543"/>
        <w:gridCol w:w="2977"/>
      </w:tblGrid>
      <w:tr w:rsidR="004B6DBD" w14:paraId="69E3A683" w14:textId="77777777" w:rsidTr="0088445B">
        <w:tc>
          <w:tcPr>
            <w:tcW w:w="2694" w:type="dxa"/>
          </w:tcPr>
          <w:p w14:paraId="17DC510E" w14:textId="77777777" w:rsidR="004B6DBD" w:rsidRPr="007B66CB" w:rsidRDefault="004B6DBD" w:rsidP="005D3356">
            <w:pPr>
              <w:spacing w:after="120" w:line="276" w:lineRule="auto"/>
              <w:rPr>
                <w:rFonts w:ascii="Arial" w:eastAsia="Times New Roman" w:hAnsi="Arial" w:cs="Arial"/>
                <w:b/>
                <w:bCs/>
                <w:color w:val="0070C0"/>
                <w:lang w:eastAsia="en-NZ"/>
              </w:rPr>
            </w:pPr>
            <w:r w:rsidRPr="007B66CB">
              <w:rPr>
                <w:rFonts w:ascii="Arial" w:eastAsia="Times New Roman" w:hAnsi="Arial" w:cs="Arial"/>
                <w:b/>
                <w:bCs/>
                <w:color w:val="0070C0"/>
                <w:lang w:eastAsia="en-NZ"/>
              </w:rPr>
              <w:t>Validity</w:t>
            </w:r>
          </w:p>
          <w:p w14:paraId="7A1E3D4E" w14:textId="3EF5767D"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 xml:space="preserve">Schools must collect sufficient, valid and standard-specific evidence in the remote environment. </w:t>
            </w:r>
            <w:r w:rsidR="007A0031" w:rsidRPr="003A6442">
              <w:rPr>
                <w:rFonts w:ascii="Arial" w:eastAsia="Times New Roman" w:hAnsi="Arial" w:cs="Arial"/>
                <w:sz w:val="20"/>
                <w:szCs w:val="20"/>
                <w:lang w:eastAsia="en-NZ"/>
              </w:rPr>
              <w:t>This could</w:t>
            </w:r>
            <w:r w:rsidRPr="003A6442">
              <w:rPr>
                <w:rFonts w:ascii="Arial" w:eastAsia="Times New Roman" w:hAnsi="Arial" w:cs="Arial"/>
                <w:sz w:val="20"/>
                <w:szCs w:val="20"/>
                <w:lang w:eastAsia="en-NZ"/>
              </w:rPr>
              <w:t xml:space="preserve"> include </w:t>
            </w:r>
            <w:r w:rsidR="00513675" w:rsidRPr="003A6442">
              <w:rPr>
                <w:rFonts w:ascii="Arial" w:eastAsia="Times New Roman" w:hAnsi="Arial" w:cs="Arial"/>
                <w:sz w:val="20"/>
                <w:szCs w:val="20"/>
                <w:lang w:eastAsia="en-NZ"/>
              </w:rPr>
              <w:t xml:space="preserve">evidence that is naturally occurring in the teaching and learning process, </w:t>
            </w:r>
            <w:r w:rsidR="00367DB9" w:rsidRPr="003A6442">
              <w:rPr>
                <w:rFonts w:ascii="Arial" w:eastAsia="Times New Roman" w:hAnsi="Arial" w:cs="Arial"/>
                <w:sz w:val="20"/>
                <w:szCs w:val="20"/>
                <w:lang w:eastAsia="en-NZ"/>
              </w:rPr>
              <w:t xml:space="preserve">and/or in </w:t>
            </w:r>
            <w:r w:rsidRPr="003A6442">
              <w:rPr>
                <w:rFonts w:ascii="Arial" w:eastAsia="Times New Roman" w:hAnsi="Arial" w:cs="Arial"/>
                <w:sz w:val="20"/>
                <w:szCs w:val="20"/>
                <w:lang w:eastAsia="en-NZ"/>
              </w:rPr>
              <w:t>written, digital, photographic, audio-visual and portfolio</w:t>
            </w:r>
            <w:r w:rsidR="00BD2E9D" w:rsidRPr="003A6442">
              <w:rPr>
                <w:rFonts w:ascii="Arial" w:eastAsia="Times New Roman" w:hAnsi="Arial" w:cs="Arial"/>
                <w:sz w:val="20"/>
                <w:szCs w:val="20"/>
                <w:lang w:eastAsia="en-NZ"/>
              </w:rPr>
              <w:t xml:space="preserve"> </w:t>
            </w:r>
            <w:r w:rsidR="00367DB9" w:rsidRPr="003A6442">
              <w:rPr>
                <w:rFonts w:ascii="Arial" w:eastAsia="Times New Roman" w:hAnsi="Arial" w:cs="Arial"/>
                <w:sz w:val="20"/>
                <w:szCs w:val="20"/>
                <w:lang w:eastAsia="en-NZ"/>
              </w:rPr>
              <w:t>formats</w:t>
            </w:r>
          </w:p>
          <w:p w14:paraId="7522D484" w14:textId="7777777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Schools must continue to apply policies for resubmissions, further assessment opportunities, appeals and breaches of the assessment rules.</w:t>
            </w:r>
          </w:p>
          <w:p w14:paraId="543FBD78" w14:textId="059DA49D"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 xml:space="preserve">Performance criteria in a standard could be </w:t>
            </w:r>
            <w:r w:rsidR="005A66CE" w:rsidRPr="003A6442">
              <w:rPr>
                <w:rFonts w:ascii="Arial" w:eastAsia="Times New Roman" w:hAnsi="Arial" w:cs="Arial"/>
                <w:sz w:val="20"/>
                <w:szCs w:val="20"/>
                <w:lang w:eastAsia="en-NZ"/>
              </w:rPr>
              <w:t>achi</w:t>
            </w:r>
            <w:r w:rsidR="001125AA" w:rsidRPr="003A6442">
              <w:rPr>
                <w:rFonts w:ascii="Arial" w:eastAsia="Times New Roman" w:hAnsi="Arial" w:cs="Arial"/>
                <w:sz w:val="20"/>
                <w:szCs w:val="20"/>
                <w:lang w:eastAsia="en-NZ"/>
              </w:rPr>
              <w:t>eved</w:t>
            </w:r>
            <w:r w:rsidRPr="003A6442">
              <w:rPr>
                <w:rFonts w:ascii="Arial" w:eastAsia="Times New Roman" w:hAnsi="Arial" w:cs="Arial"/>
                <w:sz w:val="20"/>
                <w:szCs w:val="20"/>
                <w:lang w:eastAsia="en-NZ"/>
              </w:rPr>
              <w:t xml:space="preserve"> at different times of the year.</w:t>
            </w:r>
          </w:p>
        </w:tc>
        <w:tc>
          <w:tcPr>
            <w:tcW w:w="3543" w:type="dxa"/>
          </w:tcPr>
          <w:p w14:paraId="2C5485A1" w14:textId="77777777" w:rsidR="004B6DBD" w:rsidRPr="007B66CB" w:rsidRDefault="004B6DBD" w:rsidP="005D3356">
            <w:pPr>
              <w:spacing w:after="120" w:line="276" w:lineRule="auto"/>
              <w:rPr>
                <w:rFonts w:ascii="Arial" w:eastAsia="Times New Roman" w:hAnsi="Arial" w:cs="Arial"/>
                <w:b/>
                <w:bCs/>
                <w:color w:val="0070C0"/>
                <w:lang w:eastAsia="en-NZ"/>
              </w:rPr>
            </w:pPr>
            <w:r w:rsidRPr="007B66CB">
              <w:rPr>
                <w:rFonts w:ascii="Arial" w:eastAsia="Times New Roman" w:hAnsi="Arial" w:cs="Arial"/>
                <w:b/>
                <w:bCs/>
                <w:color w:val="0070C0"/>
                <w:lang w:eastAsia="en-NZ"/>
              </w:rPr>
              <w:t>Authenticity</w:t>
            </w:r>
          </w:p>
          <w:p w14:paraId="41972D95" w14:textId="7777777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In the remote environment authenticity of student work can be easily compromised, therefore:</w:t>
            </w:r>
          </w:p>
          <w:p w14:paraId="5FBC7A87" w14:textId="203913DB" w:rsidR="004B6DBD" w:rsidRPr="003A6442" w:rsidRDefault="004B6DBD" w:rsidP="00515192">
            <w:pPr>
              <w:pStyle w:val="ListParagraph"/>
              <w:numPr>
                <w:ilvl w:val="0"/>
                <w:numId w:val="4"/>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Schools can only assess and report results using their provider code for students enrolled with them. A student cannot subsequently be enrolled for the sole purpose of</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assessment.</w:t>
            </w:r>
          </w:p>
          <w:p w14:paraId="5CB57F3B" w14:textId="48BB8B34" w:rsidR="005444E7" w:rsidRPr="003A6442" w:rsidRDefault="004B6DBD" w:rsidP="00515192">
            <w:pPr>
              <w:pStyle w:val="ListParagraph"/>
              <w:numPr>
                <w:ilvl w:val="0"/>
                <w:numId w:val="4"/>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Teachers’ knowledge of their students is a fundamental tool for maintaining</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authenticity in the remote</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environment.</w:t>
            </w:r>
          </w:p>
          <w:p w14:paraId="39DEF3BE" w14:textId="5DD83124" w:rsidR="005444E7" w:rsidRPr="003A6442" w:rsidRDefault="004B6DBD" w:rsidP="00515192">
            <w:pPr>
              <w:pStyle w:val="ListParagraph"/>
              <w:numPr>
                <w:ilvl w:val="0"/>
                <w:numId w:val="4"/>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Existing Memoranda of</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Understanding or subcontracting arrangements may continue, including the service level agreement with Te</w:t>
            </w:r>
            <w:r w:rsidR="005D3356"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Kura.</w:t>
            </w:r>
          </w:p>
          <w:p w14:paraId="39399CC9" w14:textId="49E21775" w:rsidR="005444E7" w:rsidRPr="003A6442" w:rsidRDefault="004B6DBD" w:rsidP="00515192">
            <w:pPr>
              <w:pStyle w:val="ListParagraph"/>
              <w:numPr>
                <w:ilvl w:val="0"/>
                <w:numId w:val="4"/>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The assessment opportunity must be part of a coherent programme of learning and assessment and not</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a</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one-off event. This allows teachers to professionally judge when students</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are ready to be</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assessed.</w:t>
            </w:r>
          </w:p>
          <w:p w14:paraId="72409FE9" w14:textId="01AAB422" w:rsidR="004B6DBD" w:rsidRPr="003A6442" w:rsidRDefault="004B6DBD" w:rsidP="00061794">
            <w:pPr>
              <w:pStyle w:val="ListParagraph"/>
              <w:numPr>
                <w:ilvl w:val="0"/>
                <w:numId w:val="6"/>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Your school should have authenticity strategies for assessment in place, including the use of digital</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tools.</w:t>
            </w:r>
          </w:p>
        </w:tc>
        <w:tc>
          <w:tcPr>
            <w:tcW w:w="2977" w:type="dxa"/>
          </w:tcPr>
          <w:p w14:paraId="3443A621" w14:textId="77777777" w:rsidR="005444E7" w:rsidRPr="007B66CB" w:rsidRDefault="004B6DBD" w:rsidP="00515192">
            <w:pPr>
              <w:spacing w:after="120" w:line="276" w:lineRule="auto"/>
              <w:rPr>
                <w:rFonts w:ascii="Arial" w:eastAsia="Times New Roman" w:hAnsi="Arial" w:cs="Arial"/>
                <w:b/>
                <w:bCs/>
                <w:color w:val="0070C0"/>
                <w:lang w:eastAsia="en-NZ"/>
              </w:rPr>
            </w:pPr>
            <w:r w:rsidRPr="007B66CB">
              <w:rPr>
                <w:rFonts w:ascii="Arial" w:eastAsia="Times New Roman" w:hAnsi="Arial" w:cs="Arial"/>
                <w:b/>
                <w:bCs/>
                <w:color w:val="0070C0"/>
                <w:lang w:eastAsia="en-NZ"/>
              </w:rPr>
              <w:t>Verification</w:t>
            </w:r>
          </w:p>
          <w:p w14:paraId="3C2A5E9F" w14:textId="50BFA9D7" w:rsidR="00065F99" w:rsidRPr="003A6442" w:rsidRDefault="00515192" w:rsidP="00515192">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I</w:t>
            </w:r>
            <w:r w:rsidR="004B6DBD" w:rsidRPr="003A6442">
              <w:rPr>
                <w:rFonts w:ascii="Arial" w:eastAsia="Times New Roman" w:hAnsi="Arial" w:cs="Arial"/>
                <w:sz w:val="20"/>
                <w:szCs w:val="20"/>
                <w:lang w:eastAsia="en-NZ"/>
              </w:rPr>
              <w:t>nternal moderation of student assessment activities and work should continue.</w:t>
            </w:r>
            <w:r w:rsidR="005444E7" w:rsidRPr="003A6442">
              <w:rPr>
                <w:rFonts w:ascii="Arial" w:eastAsia="Times New Roman" w:hAnsi="Arial" w:cs="Arial"/>
                <w:sz w:val="20"/>
                <w:szCs w:val="20"/>
                <w:lang w:eastAsia="en-NZ"/>
              </w:rPr>
              <w:t xml:space="preserve"> </w:t>
            </w:r>
          </w:p>
          <w:p w14:paraId="41ADC19C" w14:textId="7CA95A95" w:rsidR="00CA4CA3" w:rsidRPr="003A6442" w:rsidRDefault="00A84BA9" w:rsidP="00515192">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This</w:t>
            </w:r>
            <w:r w:rsidR="00CA4CA3" w:rsidRPr="003A6442">
              <w:rPr>
                <w:rFonts w:ascii="Arial" w:eastAsia="Times New Roman" w:hAnsi="Arial" w:cs="Arial"/>
                <w:sz w:val="20"/>
                <w:szCs w:val="20"/>
                <w:lang w:eastAsia="en-NZ"/>
              </w:rPr>
              <w:t xml:space="preserve"> can include:</w:t>
            </w:r>
          </w:p>
          <w:p w14:paraId="41E9599C" w14:textId="77777777" w:rsidR="00CA4CA3" w:rsidRPr="003A6442" w:rsidRDefault="00CA4CA3" w:rsidP="00515192">
            <w:pPr>
              <w:numPr>
                <w:ilvl w:val="0"/>
                <w:numId w:val="5"/>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Witnessing actual physical or digital evidence</w:t>
            </w:r>
            <w:r w:rsidRPr="003A6442">
              <w:rPr>
                <w:rFonts w:ascii="Arial" w:eastAsia="Times New Roman" w:hAnsi="Arial" w:cs="Arial"/>
                <w:sz w:val="20"/>
                <w:szCs w:val="20"/>
                <w:lang w:val="en-US" w:eastAsia="en-NZ"/>
              </w:rPr>
              <w:t xml:space="preserve">  </w:t>
            </w:r>
          </w:p>
          <w:p w14:paraId="301F8AA4" w14:textId="77777777" w:rsidR="00CA4CA3" w:rsidRPr="005F177F" w:rsidRDefault="00CA4CA3" w:rsidP="00515192">
            <w:pPr>
              <w:numPr>
                <w:ilvl w:val="0"/>
                <w:numId w:val="5"/>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val="en-US" w:eastAsia="en-NZ"/>
              </w:rPr>
              <w:t xml:space="preserve">Checking a record showing that the teacher has seen or heard </w:t>
            </w:r>
            <w:proofErr w:type="gramStart"/>
            <w:r w:rsidRPr="003A6442">
              <w:rPr>
                <w:rFonts w:ascii="Arial" w:eastAsia="Times New Roman" w:hAnsi="Arial" w:cs="Arial"/>
                <w:sz w:val="20"/>
                <w:szCs w:val="20"/>
                <w:lang w:val="en-US" w:eastAsia="en-NZ"/>
              </w:rPr>
              <w:t>sufficient</w:t>
            </w:r>
            <w:proofErr w:type="gramEnd"/>
            <w:r w:rsidRPr="003A6442">
              <w:rPr>
                <w:rFonts w:ascii="Arial" w:eastAsia="Times New Roman" w:hAnsi="Arial" w:cs="Arial"/>
                <w:sz w:val="20"/>
                <w:szCs w:val="20"/>
                <w:lang w:val="en-US" w:eastAsia="en-NZ"/>
              </w:rPr>
              <w:t xml:space="preserve"> evidence using the ideas below. </w:t>
            </w:r>
          </w:p>
          <w:p w14:paraId="1F01B328" w14:textId="0D54C3A6" w:rsidR="005F177F" w:rsidRPr="003A6442" w:rsidRDefault="005F177F" w:rsidP="005F177F">
            <w:pPr>
              <w:spacing w:after="120" w:line="276" w:lineRule="auto"/>
              <w:rPr>
                <w:rFonts w:ascii="Arial" w:eastAsia="Times New Roman" w:hAnsi="Arial" w:cs="Arial"/>
                <w:sz w:val="20"/>
                <w:szCs w:val="20"/>
                <w:lang w:eastAsia="en-NZ"/>
              </w:rPr>
            </w:pPr>
            <w:r>
              <w:rPr>
                <w:rFonts w:ascii="Arial" w:eastAsia="Times New Roman" w:hAnsi="Arial" w:cs="Arial"/>
                <w:sz w:val="20"/>
                <w:szCs w:val="20"/>
                <w:lang w:val="en-US" w:eastAsia="en-NZ"/>
              </w:rPr>
              <w:t xml:space="preserve">These are </w:t>
            </w:r>
            <w:proofErr w:type="gramStart"/>
            <w:r>
              <w:rPr>
                <w:rFonts w:ascii="Arial" w:eastAsia="Times New Roman" w:hAnsi="Arial" w:cs="Arial"/>
                <w:sz w:val="20"/>
                <w:szCs w:val="20"/>
                <w:lang w:val="en-US" w:eastAsia="en-NZ"/>
              </w:rPr>
              <w:t>sufficient</w:t>
            </w:r>
            <w:proofErr w:type="gramEnd"/>
            <w:r>
              <w:rPr>
                <w:rFonts w:ascii="Arial" w:eastAsia="Times New Roman" w:hAnsi="Arial" w:cs="Arial"/>
                <w:sz w:val="20"/>
                <w:szCs w:val="20"/>
                <w:lang w:val="en-US" w:eastAsia="en-NZ"/>
              </w:rPr>
              <w:t xml:space="preserve"> for future external moderation purposes.</w:t>
            </w:r>
          </w:p>
          <w:p w14:paraId="45168EAB" w14:textId="77777777" w:rsidR="00CA4CA3" w:rsidRPr="003A6442" w:rsidRDefault="00CA4CA3" w:rsidP="00515192">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Some ideas are to:</w:t>
            </w:r>
          </w:p>
          <w:p w14:paraId="0D6C0ED7" w14:textId="78672DDB" w:rsidR="00CA4CA3" w:rsidRPr="003A6442" w:rsidRDefault="00CA4CA3" w:rsidP="00515192">
            <w:pPr>
              <w:numPr>
                <w:ilvl w:val="0"/>
                <w:numId w:val="5"/>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Create a tracking system, such as a spreadsheet, where you can record the evidence gathered against</w:t>
            </w:r>
            <w:r w:rsidR="00442AC7" w:rsidRPr="003A6442">
              <w:rPr>
                <w:rFonts w:ascii="Arial" w:eastAsia="Times New Roman" w:hAnsi="Arial" w:cs="Arial"/>
                <w:sz w:val="20"/>
                <w:szCs w:val="20"/>
                <w:lang w:eastAsia="en-NZ"/>
              </w:rPr>
              <w:t xml:space="preserve"> t</w:t>
            </w:r>
            <w:r w:rsidRPr="003A6442">
              <w:rPr>
                <w:rFonts w:ascii="Arial" w:eastAsia="Times New Roman" w:hAnsi="Arial" w:cs="Arial"/>
                <w:sz w:val="20"/>
                <w:szCs w:val="20"/>
                <w:lang w:eastAsia="en-NZ"/>
              </w:rPr>
              <w:t>he criteria for the standard. </w:t>
            </w:r>
          </w:p>
          <w:p w14:paraId="058203FC" w14:textId="77777777" w:rsidR="00CA4CA3" w:rsidRPr="003A6442" w:rsidRDefault="00CA4CA3" w:rsidP="00515192">
            <w:pPr>
              <w:numPr>
                <w:ilvl w:val="0"/>
                <w:numId w:val="5"/>
              </w:num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Ensure you are familiar with the evidence requirements of the standard and check benchmark and NZQA exemplars.</w:t>
            </w:r>
          </w:p>
          <w:p w14:paraId="22491CD4" w14:textId="07E264B7" w:rsidR="00387FED" w:rsidRPr="003A6442" w:rsidRDefault="00387FED" w:rsidP="00095063">
            <w:pPr>
              <w:spacing w:after="120" w:line="276" w:lineRule="auto"/>
              <w:rPr>
                <w:rFonts w:ascii="Arial" w:eastAsia="Times New Roman" w:hAnsi="Arial" w:cs="Arial"/>
                <w:sz w:val="20"/>
                <w:szCs w:val="20"/>
                <w:lang w:eastAsia="en-NZ"/>
              </w:rPr>
            </w:pPr>
          </w:p>
        </w:tc>
      </w:tr>
      <w:tr w:rsidR="004B6DBD" w14:paraId="1508578A" w14:textId="77777777" w:rsidTr="0088445B">
        <w:tc>
          <w:tcPr>
            <w:tcW w:w="9214" w:type="dxa"/>
            <w:gridSpan w:val="3"/>
          </w:tcPr>
          <w:p w14:paraId="5D77E3F4" w14:textId="77777777" w:rsidR="005444E7" w:rsidRPr="007B66CB" w:rsidRDefault="004B6DBD" w:rsidP="005D3356">
            <w:pPr>
              <w:spacing w:after="120" w:line="276" w:lineRule="auto"/>
              <w:rPr>
                <w:rFonts w:ascii="Arial" w:eastAsia="Times New Roman" w:hAnsi="Arial" w:cs="Arial"/>
                <w:b/>
                <w:bCs/>
                <w:color w:val="0070C0"/>
                <w:lang w:eastAsia="en-NZ"/>
              </w:rPr>
            </w:pPr>
            <w:r w:rsidRPr="007B66CB">
              <w:rPr>
                <w:rFonts w:ascii="Arial" w:eastAsia="Times New Roman" w:hAnsi="Arial" w:cs="Arial"/>
                <w:b/>
                <w:bCs/>
                <w:color w:val="0070C0"/>
                <w:lang w:eastAsia="en-NZ"/>
              </w:rPr>
              <w:t>Reporting results</w:t>
            </w:r>
          </w:p>
          <w:p w14:paraId="5B70E4DA" w14:textId="78AD92B3"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If a student has an adequate assessment opportunity</w:t>
            </w:r>
            <w:r w:rsidR="002F31D0">
              <w:rPr>
                <w:rFonts w:ascii="Arial" w:eastAsia="Times New Roman" w:hAnsi="Arial" w:cs="Arial"/>
                <w:sz w:val="20"/>
                <w:szCs w:val="20"/>
                <w:lang w:eastAsia="en-NZ"/>
              </w:rPr>
              <w:t>,</w:t>
            </w:r>
            <w:r w:rsidRPr="003A6442">
              <w:rPr>
                <w:rFonts w:ascii="Arial" w:eastAsia="Times New Roman" w:hAnsi="Arial" w:cs="Arial"/>
                <w:sz w:val="20"/>
                <w:szCs w:val="20"/>
                <w:lang w:eastAsia="en-NZ"/>
              </w:rPr>
              <w:t xml:space="preserve"> a result must be reported. Where possible, schools should report results through their School Management System or use the web entry facility on the NZQA website.</w:t>
            </w:r>
          </w:p>
        </w:tc>
      </w:tr>
      <w:tr w:rsidR="004B6DBD" w14:paraId="515ABCCB" w14:textId="77777777" w:rsidTr="0088445B">
        <w:tc>
          <w:tcPr>
            <w:tcW w:w="9214" w:type="dxa"/>
            <w:gridSpan w:val="3"/>
          </w:tcPr>
          <w:p w14:paraId="7C130286" w14:textId="77777777" w:rsidR="005444E7" w:rsidRPr="007B66CB" w:rsidRDefault="004B6DBD" w:rsidP="005D3356">
            <w:pPr>
              <w:spacing w:after="120" w:line="276" w:lineRule="auto"/>
              <w:rPr>
                <w:rFonts w:ascii="Arial" w:eastAsia="Times New Roman" w:hAnsi="Arial" w:cs="Arial"/>
                <w:b/>
                <w:bCs/>
                <w:color w:val="0070C0"/>
                <w:lang w:eastAsia="en-NZ"/>
              </w:rPr>
            </w:pPr>
            <w:r w:rsidRPr="007B66CB">
              <w:rPr>
                <w:rFonts w:ascii="Arial" w:eastAsia="Times New Roman" w:hAnsi="Arial" w:cs="Arial"/>
                <w:b/>
                <w:bCs/>
                <w:color w:val="0070C0"/>
                <w:lang w:eastAsia="en-NZ"/>
              </w:rPr>
              <w:t>Communication</w:t>
            </w:r>
          </w:p>
          <w:p w14:paraId="0054D422" w14:textId="1DCAB0D7" w:rsidR="004B6DBD" w:rsidRPr="003A6442" w:rsidRDefault="004B6DBD" w:rsidP="005D3356">
            <w:pPr>
              <w:spacing w:after="120" w:line="276" w:lineRule="auto"/>
              <w:rPr>
                <w:rFonts w:ascii="Arial" w:eastAsia="Times New Roman" w:hAnsi="Arial" w:cs="Arial"/>
                <w:sz w:val="20"/>
                <w:szCs w:val="20"/>
                <w:lang w:eastAsia="en-NZ"/>
              </w:rPr>
            </w:pPr>
            <w:r w:rsidRPr="003A6442">
              <w:rPr>
                <w:rFonts w:ascii="Arial" w:eastAsia="Times New Roman" w:hAnsi="Arial" w:cs="Arial"/>
                <w:sz w:val="20"/>
                <w:szCs w:val="20"/>
                <w:lang w:eastAsia="en-NZ"/>
              </w:rPr>
              <w:t>Teachers, students and whānau need clear and accurate information to support remote assessment practice</w:t>
            </w:r>
            <w:r w:rsidR="0045055B" w:rsidRPr="003A6442">
              <w:rPr>
                <w:rFonts w:ascii="Arial" w:eastAsia="Times New Roman" w:hAnsi="Arial" w:cs="Arial"/>
                <w:sz w:val="20"/>
                <w:szCs w:val="20"/>
                <w:lang w:eastAsia="en-NZ"/>
              </w:rPr>
              <w:t>.</w:t>
            </w:r>
            <w:r w:rsidR="00C335F6" w:rsidRPr="003A6442">
              <w:rPr>
                <w:rFonts w:ascii="Arial" w:eastAsia="Times New Roman" w:hAnsi="Arial" w:cs="Arial"/>
                <w:sz w:val="20"/>
                <w:szCs w:val="20"/>
                <w:lang w:eastAsia="en-NZ"/>
              </w:rPr>
              <w:t xml:space="preserve"> Please ensure </w:t>
            </w:r>
            <w:r w:rsidR="001B1082" w:rsidRPr="003A6442">
              <w:rPr>
                <w:rFonts w:ascii="Arial" w:eastAsia="Times New Roman" w:hAnsi="Arial" w:cs="Arial"/>
                <w:sz w:val="20"/>
                <w:szCs w:val="20"/>
                <w:lang w:eastAsia="en-NZ"/>
              </w:rPr>
              <w:t>everyone is aware of</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authenticity</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requirements</w:t>
            </w:r>
            <w:r w:rsidR="00CD7ABB" w:rsidRPr="003A6442">
              <w:rPr>
                <w:rFonts w:ascii="Arial" w:eastAsia="Times New Roman" w:hAnsi="Arial" w:cs="Arial"/>
                <w:sz w:val="20"/>
                <w:szCs w:val="20"/>
                <w:lang w:eastAsia="en-NZ"/>
              </w:rPr>
              <w:t>,</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deadline</w:t>
            </w:r>
            <w:r w:rsidR="005444E7" w:rsidRPr="003A6442">
              <w:rPr>
                <w:rFonts w:ascii="Arial" w:eastAsia="Times New Roman" w:hAnsi="Arial" w:cs="Arial"/>
                <w:sz w:val="20"/>
                <w:szCs w:val="20"/>
                <w:lang w:eastAsia="en-NZ"/>
              </w:rPr>
              <w:t xml:space="preserve"> </w:t>
            </w:r>
            <w:r w:rsidRPr="003A6442">
              <w:rPr>
                <w:rFonts w:ascii="Arial" w:eastAsia="Times New Roman" w:hAnsi="Arial" w:cs="Arial"/>
                <w:sz w:val="20"/>
                <w:szCs w:val="20"/>
                <w:lang w:eastAsia="en-NZ"/>
              </w:rPr>
              <w:t>expectations</w:t>
            </w:r>
            <w:r w:rsidR="00CD7ABB" w:rsidRPr="003A6442">
              <w:rPr>
                <w:rFonts w:ascii="Arial" w:eastAsia="Times New Roman" w:hAnsi="Arial" w:cs="Arial"/>
                <w:sz w:val="20"/>
                <w:szCs w:val="20"/>
                <w:lang w:eastAsia="en-NZ"/>
              </w:rPr>
              <w:t>,</w:t>
            </w:r>
            <w:r w:rsidR="00C72536" w:rsidRPr="003A6442">
              <w:rPr>
                <w:rFonts w:ascii="Arial" w:eastAsia="Times New Roman" w:hAnsi="Arial" w:cs="Arial"/>
                <w:sz w:val="20"/>
                <w:szCs w:val="20"/>
                <w:lang w:eastAsia="en-NZ"/>
              </w:rPr>
              <w:t xml:space="preserve"> and </w:t>
            </w:r>
            <w:r w:rsidRPr="003A6442">
              <w:rPr>
                <w:rFonts w:ascii="Arial" w:eastAsia="Times New Roman" w:hAnsi="Arial" w:cs="Arial"/>
                <w:sz w:val="20"/>
                <w:szCs w:val="20"/>
                <w:lang w:eastAsia="en-NZ"/>
              </w:rPr>
              <w:t>evidence</w:t>
            </w:r>
            <w:r w:rsidR="005444E7" w:rsidRPr="003A6442">
              <w:rPr>
                <w:rFonts w:ascii="Arial" w:eastAsia="Times New Roman" w:hAnsi="Arial" w:cs="Arial"/>
                <w:sz w:val="20"/>
                <w:szCs w:val="20"/>
                <w:lang w:eastAsia="en-NZ"/>
              </w:rPr>
              <w:t xml:space="preserve"> </w:t>
            </w:r>
            <w:r w:rsidR="001E0952" w:rsidRPr="003A6442">
              <w:rPr>
                <w:rFonts w:ascii="Arial" w:eastAsia="Times New Roman" w:hAnsi="Arial" w:cs="Arial"/>
                <w:sz w:val="20"/>
                <w:szCs w:val="20"/>
                <w:lang w:eastAsia="en-NZ"/>
              </w:rPr>
              <w:t xml:space="preserve">that can </w:t>
            </w:r>
            <w:r w:rsidRPr="003A6442">
              <w:rPr>
                <w:rFonts w:ascii="Arial" w:eastAsia="Times New Roman" w:hAnsi="Arial" w:cs="Arial"/>
                <w:sz w:val="20"/>
                <w:szCs w:val="20"/>
                <w:lang w:eastAsia="en-NZ"/>
              </w:rPr>
              <w:t>collected</w:t>
            </w:r>
            <w:r w:rsidR="00C72536" w:rsidRPr="003A6442">
              <w:rPr>
                <w:rFonts w:ascii="Arial" w:eastAsia="Times New Roman" w:hAnsi="Arial" w:cs="Arial"/>
                <w:sz w:val="20"/>
                <w:szCs w:val="20"/>
                <w:lang w:eastAsia="en-NZ"/>
              </w:rPr>
              <w:t xml:space="preserve">. </w:t>
            </w:r>
          </w:p>
        </w:tc>
      </w:tr>
    </w:tbl>
    <w:p w14:paraId="0875E6E2" w14:textId="77777777" w:rsidR="00A277AB" w:rsidRDefault="00A277AB" w:rsidP="006B1C15">
      <w:pPr>
        <w:spacing w:after="120" w:line="276" w:lineRule="auto"/>
        <w:rPr>
          <w:rFonts w:ascii="Arial" w:eastAsia="Times New Roman" w:hAnsi="Arial" w:cs="Arial"/>
          <w:b/>
          <w:bCs/>
          <w:sz w:val="28"/>
          <w:szCs w:val="28"/>
          <w:u w:val="single"/>
          <w:lang w:eastAsia="en-NZ"/>
        </w:rPr>
        <w:sectPr w:rsidR="00A277AB" w:rsidSect="00013CB8">
          <w:footerReference w:type="default" r:id="rId11"/>
          <w:type w:val="continuous"/>
          <w:pgSz w:w="11906" w:h="16838"/>
          <w:pgMar w:top="1440" w:right="1440" w:bottom="1440" w:left="1440" w:header="708" w:footer="708" w:gutter="0"/>
          <w:cols w:space="708"/>
          <w:docGrid w:linePitch="360"/>
        </w:sectPr>
      </w:pPr>
    </w:p>
    <w:p w14:paraId="021CC601" w14:textId="5FE08561" w:rsidR="00232044" w:rsidRDefault="004B6DBD" w:rsidP="006B1C15">
      <w:pPr>
        <w:spacing w:after="120" w:line="276" w:lineRule="auto"/>
        <w:rPr>
          <w:rFonts w:ascii="Arial" w:eastAsia="Times New Roman" w:hAnsi="Arial" w:cs="Arial"/>
          <w:b/>
          <w:bCs/>
          <w:color w:val="0070C0"/>
          <w:sz w:val="28"/>
          <w:szCs w:val="28"/>
          <w:lang w:eastAsia="en-NZ"/>
        </w:rPr>
      </w:pPr>
      <w:r w:rsidRPr="00967CD4">
        <w:rPr>
          <w:rFonts w:ascii="Arial" w:eastAsia="Times New Roman" w:hAnsi="Arial" w:cs="Arial"/>
          <w:b/>
          <w:bCs/>
          <w:color w:val="0070C0"/>
          <w:sz w:val="28"/>
          <w:szCs w:val="28"/>
          <w:lang w:eastAsia="en-NZ"/>
        </w:rPr>
        <w:lastRenderedPageBreak/>
        <w:t xml:space="preserve">Evidence Gathering: </w:t>
      </w:r>
    </w:p>
    <w:p w14:paraId="577D3E68" w14:textId="3D97C2E6" w:rsidR="005444E7" w:rsidRPr="00013CB8" w:rsidRDefault="004B6DBD" w:rsidP="006B1C15">
      <w:pPr>
        <w:spacing w:after="120" w:line="276" w:lineRule="auto"/>
        <w:rPr>
          <w:rFonts w:ascii="Arial" w:eastAsia="Times New Roman" w:hAnsi="Arial" w:cs="Arial"/>
          <w:b/>
          <w:bCs/>
          <w:color w:val="0070C0"/>
          <w:sz w:val="26"/>
          <w:szCs w:val="26"/>
          <w:lang w:eastAsia="en-NZ"/>
        </w:rPr>
      </w:pPr>
      <w:r w:rsidRPr="00013CB8">
        <w:rPr>
          <w:rFonts w:ascii="Arial" w:eastAsia="Times New Roman" w:hAnsi="Arial" w:cs="Arial"/>
          <w:b/>
          <w:bCs/>
          <w:color w:val="0070C0"/>
          <w:sz w:val="26"/>
          <w:szCs w:val="26"/>
          <w:lang w:eastAsia="en-NZ"/>
        </w:rPr>
        <w:t>Templates for Internal and External Assessment after an Unexpected Event</w:t>
      </w:r>
    </w:p>
    <w:p w14:paraId="5204D169" w14:textId="1DE2926C" w:rsidR="00232044" w:rsidRDefault="00232044" w:rsidP="005D3356">
      <w:pPr>
        <w:shd w:val="clear" w:color="auto" w:fill="FAF9F8"/>
        <w:spacing w:after="120" w:line="276" w:lineRule="auto"/>
        <w:rPr>
          <w:rFonts w:ascii="Arial" w:eastAsia="Times New Roman" w:hAnsi="Arial" w:cs="Arial"/>
          <w:lang w:eastAsia="en-NZ"/>
        </w:rPr>
      </w:pPr>
      <w:r w:rsidRPr="004E51AB">
        <w:rPr>
          <w:rFonts w:ascii="Arial" w:eastAsia="Times New Roman" w:hAnsi="Arial" w:cs="Arial"/>
          <w:noProof/>
          <w:color w:val="0070C0"/>
          <w:lang w:eastAsia="en-NZ"/>
        </w:rPr>
        <mc:AlternateContent>
          <mc:Choice Requires="wps">
            <w:drawing>
              <wp:anchor distT="0" distB="0" distL="114300" distR="114300" simplePos="0" relativeHeight="251658242" behindDoc="0" locked="0" layoutInCell="1" allowOverlap="1" wp14:anchorId="1817F495" wp14:editId="7C0DEF06">
                <wp:simplePos x="0" y="0"/>
                <wp:positionH relativeFrom="margin">
                  <wp:align>left</wp:align>
                </wp:positionH>
                <wp:positionV relativeFrom="paragraph">
                  <wp:posOffset>19917</wp:posOffset>
                </wp:positionV>
                <wp:extent cx="3763240" cy="0"/>
                <wp:effectExtent l="0" t="19050" r="27940" b="19050"/>
                <wp:wrapNone/>
                <wp:docPr id="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3240" cy="0"/>
                        </a:xfrm>
                        <a:prstGeom prst="line">
                          <a:avLst/>
                        </a:prstGeom>
                        <a:ln w="38100">
                          <a:solidFill>
                            <a:srgbClr val="E318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0FB86" id="Straight Connector 14"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pt" to="296.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" strokecolor="#e31837" strokeweight="3pt">
                <v:stroke joinstyle="miter"/>
                <o:lock v:ext="edit" shapetype="f"/>
                <w10:wrap anchorx="margin"/>
              </v:line>
            </w:pict>
          </mc:Fallback>
        </mc:AlternateContent>
      </w:r>
    </w:p>
    <w:p w14:paraId="7AD0020E" w14:textId="5DF66EC8" w:rsidR="005444E7" w:rsidRPr="001D66EA" w:rsidRDefault="008C28E1" w:rsidP="005D3356">
      <w:pPr>
        <w:shd w:val="clear" w:color="auto" w:fill="FAF9F8"/>
        <w:spacing w:after="120" w:line="276" w:lineRule="auto"/>
        <w:rPr>
          <w:rFonts w:ascii="Arial" w:eastAsia="Times New Roman" w:hAnsi="Arial" w:cs="Arial"/>
          <w:lang w:eastAsia="en-NZ"/>
        </w:rPr>
      </w:pPr>
      <w:r w:rsidRPr="001D66EA">
        <w:rPr>
          <w:rFonts w:ascii="Arial" w:eastAsia="Times New Roman" w:hAnsi="Arial" w:cs="Arial"/>
          <w:lang w:eastAsia="en-NZ"/>
        </w:rPr>
        <w:t>T</w:t>
      </w:r>
      <w:r w:rsidR="004B6DBD" w:rsidRPr="001D66EA">
        <w:rPr>
          <w:rFonts w:ascii="Arial" w:eastAsia="Times New Roman" w:hAnsi="Arial" w:cs="Arial"/>
          <w:lang w:eastAsia="en-NZ"/>
        </w:rPr>
        <w:t>emplates to help you record evidence of achievement for internally and externally assessed standards</w:t>
      </w:r>
      <w:r w:rsidRPr="001D66EA">
        <w:rPr>
          <w:rFonts w:ascii="Arial" w:eastAsia="Times New Roman" w:hAnsi="Arial" w:cs="Arial"/>
          <w:lang w:eastAsia="en-NZ"/>
        </w:rPr>
        <w:t xml:space="preserve"> are available through the subject pages of the NZQA website.</w:t>
      </w:r>
    </w:p>
    <w:p w14:paraId="18EBD0F8" w14:textId="4C299E52" w:rsidR="005444E7" w:rsidRPr="001D66EA" w:rsidRDefault="004B6DBD" w:rsidP="005D3356">
      <w:pPr>
        <w:shd w:val="clear" w:color="auto" w:fill="FAF9F8"/>
        <w:spacing w:after="120" w:line="276" w:lineRule="auto"/>
        <w:rPr>
          <w:rFonts w:ascii="Arial" w:eastAsia="Times New Roman" w:hAnsi="Arial" w:cs="Arial"/>
          <w:lang w:eastAsia="en-NZ"/>
        </w:rPr>
      </w:pPr>
      <w:r w:rsidRPr="001D66EA">
        <w:rPr>
          <w:rFonts w:ascii="Arial" w:eastAsia="Times New Roman" w:hAnsi="Arial" w:cs="Arial"/>
          <w:lang w:eastAsia="en-NZ"/>
        </w:rPr>
        <w:t xml:space="preserve">NZQA has developed these templates to record </w:t>
      </w:r>
      <w:r w:rsidR="004E71A4" w:rsidRPr="001D66EA">
        <w:rPr>
          <w:rFonts w:ascii="Arial" w:eastAsia="Times New Roman" w:hAnsi="Arial" w:cs="Arial"/>
          <w:lang w:eastAsia="en-NZ"/>
        </w:rPr>
        <w:t>evidence of student</w:t>
      </w:r>
      <w:r w:rsidRPr="001D66EA">
        <w:rPr>
          <w:rFonts w:ascii="Arial" w:eastAsia="Times New Roman" w:hAnsi="Arial" w:cs="Arial"/>
          <w:lang w:eastAsia="en-NZ"/>
        </w:rPr>
        <w:t xml:space="preserve"> achievement when more formal assessment has not been </w:t>
      </w:r>
      <w:r w:rsidR="00F54FFD" w:rsidRPr="001D66EA">
        <w:rPr>
          <w:rFonts w:ascii="Arial" w:eastAsia="Times New Roman" w:hAnsi="Arial" w:cs="Arial"/>
          <w:lang w:eastAsia="en-NZ"/>
        </w:rPr>
        <w:t>feasible</w:t>
      </w:r>
      <w:r w:rsidRPr="001D66EA">
        <w:rPr>
          <w:rFonts w:ascii="Arial" w:eastAsia="Times New Roman" w:hAnsi="Arial" w:cs="Arial"/>
          <w:lang w:eastAsia="en-NZ"/>
        </w:rPr>
        <w:t>. The templates can be used</w:t>
      </w:r>
      <w:r w:rsidR="005444E7" w:rsidRPr="001D66EA">
        <w:rPr>
          <w:rFonts w:ascii="Arial" w:eastAsia="Times New Roman" w:hAnsi="Arial" w:cs="Arial"/>
          <w:lang w:eastAsia="en-NZ"/>
        </w:rPr>
        <w:t xml:space="preserve"> </w:t>
      </w:r>
      <w:r w:rsidRPr="001D66EA">
        <w:rPr>
          <w:rFonts w:ascii="Arial" w:eastAsia="Times New Roman" w:hAnsi="Arial" w:cs="Arial"/>
          <w:lang w:eastAsia="en-NZ"/>
        </w:rPr>
        <w:t>to establish a grade for learner achievement at the achievement criteria or element level. Their use is optional and may be adapted by teachers to better suit their needs.</w:t>
      </w:r>
    </w:p>
    <w:p w14:paraId="29BC7391" w14:textId="77777777" w:rsidR="005444E7" w:rsidRPr="001D66EA" w:rsidRDefault="004B6DBD" w:rsidP="005D3356">
      <w:pPr>
        <w:shd w:val="clear" w:color="auto" w:fill="FAF9F8"/>
        <w:spacing w:after="120" w:line="276" w:lineRule="auto"/>
        <w:rPr>
          <w:rFonts w:ascii="Arial" w:eastAsia="Times New Roman" w:hAnsi="Arial" w:cs="Arial"/>
          <w:lang w:eastAsia="en-NZ"/>
        </w:rPr>
      </w:pPr>
      <w:r w:rsidRPr="001D66EA">
        <w:rPr>
          <w:rFonts w:ascii="Arial" w:eastAsia="Times New Roman" w:hAnsi="Arial" w:cs="Arial"/>
          <w:lang w:eastAsia="en-NZ"/>
        </w:rPr>
        <w:t>Evidence may be sourced from a range of formal and informal assessment types, including evidence from the learning process, prior learning, naturally occurring evidence and teacher professional judgement.</w:t>
      </w:r>
    </w:p>
    <w:p w14:paraId="3DAA415E" w14:textId="71925AA6" w:rsidR="005444E7" w:rsidRPr="001D66EA" w:rsidRDefault="004B6DBD" w:rsidP="005D3356">
      <w:pPr>
        <w:shd w:val="clear" w:color="auto" w:fill="FAF9F8"/>
        <w:spacing w:after="120" w:line="276" w:lineRule="auto"/>
        <w:rPr>
          <w:rFonts w:ascii="Arial" w:eastAsia="Times New Roman" w:hAnsi="Arial" w:cs="Arial"/>
          <w:lang w:eastAsia="en-NZ"/>
        </w:rPr>
      </w:pPr>
      <w:r w:rsidRPr="001D66EA">
        <w:rPr>
          <w:rFonts w:ascii="Arial" w:eastAsia="Times New Roman" w:hAnsi="Arial" w:cs="Arial"/>
          <w:lang w:eastAsia="en-NZ"/>
        </w:rPr>
        <w:t>The collection and collation of evidence is not required but may be useful if students leave your school. The template and a portfolio of evidence could accompany them to their new school.</w:t>
      </w:r>
    </w:p>
    <w:p w14:paraId="5159AFE0" w14:textId="77777777" w:rsidR="00CD4B22" w:rsidRDefault="00CD4B22" w:rsidP="001D66EA">
      <w:pPr>
        <w:spacing w:after="120" w:line="276" w:lineRule="auto"/>
        <w:rPr>
          <w:rFonts w:ascii="Arial" w:eastAsia="Times New Roman" w:hAnsi="Arial" w:cs="Arial"/>
          <w:b/>
          <w:bCs/>
          <w:color w:val="0070C0"/>
          <w:sz w:val="24"/>
          <w:szCs w:val="24"/>
          <w:lang w:eastAsia="en-NZ"/>
        </w:rPr>
      </w:pPr>
    </w:p>
    <w:p w14:paraId="0C7585B0" w14:textId="1E58D7C0" w:rsidR="005444E7" w:rsidRPr="0088445B" w:rsidRDefault="004B6DBD" w:rsidP="001D66EA">
      <w:pPr>
        <w:spacing w:after="120" w:line="276" w:lineRule="auto"/>
        <w:rPr>
          <w:rFonts w:ascii="Arial" w:eastAsia="Times New Roman" w:hAnsi="Arial" w:cs="Arial"/>
          <w:b/>
          <w:bCs/>
          <w:color w:val="0070C0"/>
          <w:sz w:val="24"/>
          <w:szCs w:val="24"/>
          <w:lang w:eastAsia="en-NZ"/>
        </w:rPr>
      </w:pPr>
      <w:r w:rsidRPr="0088445B">
        <w:rPr>
          <w:rFonts w:ascii="Arial" w:eastAsia="Times New Roman" w:hAnsi="Arial" w:cs="Arial"/>
          <w:b/>
          <w:bCs/>
          <w:color w:val="0070C0"/>
          <w:sz w:val="24"/>
          <w:szCs w:val="24"/>
          <w:lang w:eastAsia="en-NZ"/>
        </w:rPr>
        <w:t>Frequently asked questions</w:t>
      </w:r>
    </w:p>
    <w:tbl>
      <w:tblPr>
        <w:tblStyle w:val="TableGrid"/>
        <w:tblW w:w="0" w:type="auto"/>
        <w:tblLook w:val="04A0" w:firstRow="1" w:lastRow="0" w:firstColumn="1" w:lastColumn="0" w:noHBand="0" w:noVBand="1"/>
      </w:tblPr>
      <w:tblGrid>
        <w:gridCol w:w="3397"/>
        <w:gridCol w:w="6096"/>
      </w:tblGrid>
      <w:tr w:rsidR="005444E7" w:rsidRPr="001D66EA" w14:paraId="0CC8AD13" w14:textId="77777777" w:rsidTr="002A14F8">
        <w:tc>
          <w:tcPr>
            <w:tcW w:w="3397" w:type="dxa"/>
          </w:tcPr>
          <w:p w14:paraId="139667DD" w14:textId="77777777" w:rsidR="005444E7" w:rsidRPr="00EC5CAC" w:rsidRDefault="005444E7" w:rsidP="005D3356">
            <w:pPr>
              <w:spacing w:after="120" w:line="276" w:lineRule="auto"/>
              <w:rPr>
                <w:rFonts w:ascii="Arial" w:eastAsia="Times New Roman" w:hAnsi="Arial" w:cs="Arial"/>
                <w:b/>
                <w:sz w:val="20"/>
                <w:szCs w:val="20"/>
                <w:lang w:eastAsia="en-NZ"/>
              </w:rPr>
            </w:pPr>
            <w:r w:rsidRPr="00EC5CAC">
              <w:rPr>
                <w:rFonts w:ascii="Arial" w:eastAsia="Times New Roman" w:hAnsi="Arial" w:cs="Arial"/>
                <w:b/>
                <w:sz w:val="20"/>
                <w:szCs w:val="20"/>
                <w:lang w:eastAsia="en-NZ"/>
              </w:rPr>
              <w:t>Can teachers rely on just professional judgement when awarding a grade for a standard?</w:t>
            </w:r>
          </w:p>
        </w:tc>
        <w:tc>
          <w:tcPr>
            <w:tcW w:w="6096" w:type="dxa"/>
          </w:tcPr>
          <w:p w14:paraId="0C1B423C" w14:textId="77777777" w:rsidR="005444E7" w:rsidRPr="001D66EA" w:rsidRDefault="005444E7" w:rsidP="005D3356">
            <w:pPr>
              <w:spacing w:after="120" w:line="276" w:lineRule="auto"/>
              <w:rPr>
                <w:rFonts w:ascii="Arial" w:eastAsia="Times New Roman" w:hAnsi="Arial" w:cs="Arial"/>
                <w:sz w:val="20"/>
                <w:szCs w:val="20"/>
                <w:lang w:eastAsia="en-NZ"/>
              </w:rPr>
            </w:pPr>
            <w:r w:rsidRPr="001D66EA">
              <w:rPr>
                <w:rFonts w:ascii="Arial" w:eastAsia="Times New Roman" w:hAnsi="Arial" w:cs="Arial"/>
                <w:sz w:val="20"/>
                <w:szCs w:val="20"/>
                <w:lang w:eastAsia="en-NZ"/>
              </w:rPr>
              <w:t>No. There must be standard-specific evidence, but formal assessment does not have to take place and all other sources of evidence, partial evidence or similar evidence can be considered.</w:t>
            </w:r>
          </w:p>
        </w:tc>
      </w:tr>
      <w:tr w:rsidR="005444E7" w:rsidRPr="001D66EA" w14:paraId="1DC0C8D6" w14:textId="77777777" w:rsidTr="002A14F8">
        <w:tc>
          <w:tcPr>
            <w:tcW w:w="3397" w:type="dxa"/>
          </w:tcPr>
          <w:p w14:paraId="09A46B00" w14:textId="77777777" w:rsidR="005444E7" w:rsidRPr="00EC5CAC" w:rsidRDefault="005444E7" w:rsidP="005D3356">
            <w:pPr>
              <w:spacing w:after="120" w:line="276" w:lineRule="auto"/>
              <w:rPr>
                <w:rFonts w:ascii="Arial" w:eastAsia="Times New Roman" w:hAnsi="Arial" w:cs="Arial"/>
                <w:b/>
                <w:sz w:val="20"/>
                <w:szCs w:val="20"/>
                <w:lang w:eastAsia="en-NZ"/>
              </w:rPr>
            </w:pPr>
            <w:r w:rsidRPr="00EC5CAC">
              <w:rPr>
                <w:rFonts w:ascii="Arial" w:eastAsia="Times New Roman" w:hAnsi="Arial" w:cs="Arial"/>
                <w:b/>
                <w:sz w:val="20"/>
                <w:szCs w:val="20"/>
                <w:lang w:eastAsia="en-NZ"/>
              </w:rPr>
              <w:t>Does the performance need to be repeated, if required by the standard?</w:t>
            </w:r>
          </w:p>
        </w:tc>
        <w:tc>
          <w:tcPr>
            <w:tcW w:w="6096" w:type="dxa"/>
          </w:tcPr>
          <w:p w14:paraId="03A9A237" w14:textId="77777777" w:rsidR="005444E7" w:rsidRPr="001D66EA" w:rsidRDefault="005444E7" w:rsidP="005D3356">
            <w:pPr>
              <w:spacing w:after="120" w:line="276" w:lineRule="auto"/>
              <w:rPr>
                <w:rFonts w:ascii="Arial" w:eastAsia="Times New Roman" w:hAnsi="Arial" w:cs="Arial"/>
                <w:sz w:val="20"/>
                <w:szCs w:val="20"/>
                <w:lang w:eastAsia="en-NZ"/>
              </w:rPr>
            </w:pPr>
            <w:r w:rsidRPr="001D66EA">
              <w:rPr>
                <w:rFonts w:ascii="Arial" w:eastAsia="Times New Roman" w:hAnsi="Arial" w:cs="Arial"/>
                <w:sz w:val="20"/>
                <w:szCs w:val="20"/>
                <w:lang w:eastAsia="en-NZ"/>
              </w:rPr>
              <w:t>Teachers must be confident that in their professional judgement, sufficient evidence supports their observation/s that the student has met the requirements of the standard.</w:t>
            </w:r>
          </w:p>
        </w:tc>
      </w:tr>
      <w:tr w:rsidR="005444E7" w:rsidRPr="001D66EA" w14:paraId="43E4A5CA" w14:textId="77777777" w:rsidTr="002A14F8">
        <w:tc>
          <w:tcPr>
            <w:tcW w:w="3397" w:type="dxa"/>
          </w:tcPr>
          <w:p w14:paraId="07E57DB5" w14:textId="77777777" w:rsidR="005444E7" w:rsidRPr="00EC5CAC" w:rsidRDefault="005444E7" w:rsidP="005D3356">
            <w:pPr>
              <w:spacing w:after="120" w:line="276" w:lineRule="auto"/>
              <w:rPr>
                <w:rFonts w:ascii="Arial" w:eastAsia="Times New Roman" w:hAnsi="Arial" w:cs="Arial"/>
                <w:b/>
                <w:sz w:val="20"/>
                <w:szCs w:val="20"/>
                <w:lang w:eastAsia="en-NZ"/>
              </w:rPr>
            </w:pPr>
            <w:r w:rsidRPr="00EC5CAC">
              <w:rPr>
                <w:rFonts w:ascii="Arial" w:eastAsia="Times New Roman" w:hAnsi="Arial" w:cs="Arial"/>
                <w:b/>
                <w:sz w:val="20"/>
                <w:szCs w:val="20"/>
                <w:lang w:eastAsia="en-NZ"/>
              </w:rPr>
              <w:t>Do I need to assess each explanatory note or performance criteria?</w:t>
            </w:r>
          </w:p>
        </w:tc>
        <w:tc>
          <w:tcPr>
            <w:tcW w:w="6096" w:type="dxa"/>
          </w:tcPr>
          <w:p w14:paraId="0A143291" w14:textId="1A22D731" w:rsidR="005444E7" w:rsidRPr="001D66EA" w:rsidRDefault="005444E7" w:rsidP="005D3356">
            <w:pPr>
              <w:spacing w:after="120" w:line="276" w:lineRule="auto"/>
              <w:rPr>
                <w:rFonts w:ascii="Arial" w:eastAsia="Times New Roman" w:hAnsi="Arial" w:cs="Arial"/>
                <w:sz w:val="20"/>
                <w:szCs w:val="20"/>
                <w:lang w:eastAsia="en-NZ"/>
              </w:rPr>
            </w:pPr>
            <w:r w:rsidRPr="001D66EA">
              <w:rPr>
                <w:rFonts w:ascii="Arial" w:eastAsia="Times New Roman" w:hAnsi="Arial" w:cs="Arial"/>
                <w:sz w:val="20"/>
                <w:szCs w:val="20"/>
                <w:lang w:eastAsia="en-NZ"/>
              </w:rPr>
              <w:t>No, as long as you have confidence</w:t>
            </w:r>
            <w:r w:rsidR="00CF31C5">
              <w:rPr>
                <w:rFonts w:ascii="Arial" w:eastAsia="Times New Roman" w:hAnsi="Arial" w:cs="Arial"/>
                <w:sz w:val="20"/>
                <w:szCs w:val="20"/>
                <w:lang w:eastAsia="en-NZ"/>
              </w:rPr>
              <w:t>,</w:t>
            </w:r>
            <w:r w:rsidRPr="001D66EA">
              <w:rPr>
                <w:rFonts w:ascii="Arial" w:eastAsia="Times New Roman" w:hAnsi="Arial" w:cs="Arial"/>
                <w:sz w:val="20"/>
                <w:szCs w:val="20"/>
                <w:lang w:eastAsia="en-NZ"/>
              </w:rPr>
              <w:t xml:space="preserve"> based on the evidence gathered at the achievement criteria or element level</w:t>
            </w:r>
            <w:r w:rsidR="00CF31C5">
              <w:rPr>
                <w:rFonts w:ascii="Arial" w:eastAsia="Times New Roman" w:hAnsi="Arial" w:cs="Arial"/>
                <w:sz w:val="20"/>
                <w:szCs w:val="20"/>
                <w:lang w:eastAsia="en-NZ"/>
              </w:rPr>
              <w:t>, that the standard has been met</w:t>
            </w:r>
            <w:r w:rsidRPr="001D66EA">
              <w:rPr>
                <w:rFonts w:ascii="Arial" w:eastAsia="Times New Roman" w:hAnsi="Arial" w:cs="Arial"/>
                <w:sz w:val="20"/>
                <w:szCs w:val="20"/>
                <w:lang w:eastAsia="en-NZ"/>
              </w:rPr>
              <w:t xml:space="preserve">. </w:t>
            </w:r>
          </w:p>
        </w:tc>
      </w:tr>
      <w:tr w:rsidR="005444E7" w:rsidRPr="001D66EA" w14:paraId="54E8B144" w14:textId="77777777" w:rsidTr="002A14F8">
        <w:tc>
          <w:tcPr>
            <w:tcW w:w="3397" w:type="dxa"/>
          </w:tcPr>
          <w:p w14:paraId="35B90A4E" w14:textId="77777777" w:rsidR="005444E7" w:rsidRPr="00EC5CAC" w:rsidRDefault="005444E7" w:rsidP="005D3356">
            <w:pPr>
              <w:spacing w:after="120" w:line="276" w:lineRule="auto"/>
              <w:rPr>
                <w:rFonts w:ascii="Arial" w:eastAsia="Times New Roman" w:hAnsi="Arial" w:cs="Arial"/>
                <w:b/>
                <w:sz w:val="20"/>
                <w:szCs w:val="20"/>
                <w:lang w:eastAsia="en-NZ"/>
              </w:rPr>
            </w:pPr>
            <w:r w:rsidRPr="00EC5CAC">
              <w:rPr>
                <w:rFonts w:ascii="Arial" w:eastAsia="Times New Roman" w:hAnsi="Arial" w:cs="Arial"/>
                <w:b/>
                <w:sz w:val="20"/>
                <w:szCs w:val="20"/>
                <w:lang w:eastAsia="en-NZ"/>
              </w:rPr>
              <w:t>Can I gather standard-specific evidence of achievement from work undertaken across a range of other standards?</w:t>
            </w:r>
          </w:p>
        </w:tc>
        <w:tc>
          <w:tcPr>
            <w:tcW w:w="6096" w:type="dxa"/>
          </w:tcPr>
          <w:p w14:paraId="16CD1699" w14:textId="5B31160B" w:rsidR="005444E7" w:rsidRPr="001D66EA" w:rsidRDefault="005444E7" w:rsidP="005D3356">
            <w:pPr>
              <w:spacing w:after="120" w:line="276" w:lineRule="auto"/>
              <w:rPr>
                <w:rFonts w:ascii="Arial" w:eastAsia="Times New Roman" w:hAnsi="Arial" w:cs="Arial"/>
                <w:sz w:val="20"/>
                <w:szCs w:val="20"/>
                <w:lang w:eastAsia="en-NZ"/>
              </w:rPr>
            </w:pPr>
            <w:r w:rsidRPr="001D66EA">
              <w:rPr>
                <w:rFonts w:ascii="Arial" w:eastAsia="Times New Roman" w:hAnsi="Arial" w:cs="Arial"/>
                <w:sz w:val="20"/>
                <w:szCs w:val="20"/>
                <w:lang w:eastAsia="en-NZ"/>
              </w:rPr>
              <w:t xml:space="preserve">Yes, if it meets the criteria for the standard being assessed, you may gather evidence from any valid and authentic work completed by the student. So, for example, if students have collected evidence for another assessment in another course, you may use the standard-specific evidence gathered from that course about a student’s ability to </w:t>
            </w:r>
            <w:r w:rsidR="00D75603">
              <w:rPr>
                <w:rFonts w:ascii="Arial" w:eastAsia="Times New Roman" w:hAnsi="Arial" w:cs="Arial"/>
                <w:sz w:val="20"/>
                <w:szCs w:val="20"/>
                <w:lang w:eastAsia="en-NZ"/>
              </w:rPr>
              <w:t>write a hypothesis</w:t>
            </w:r>
            <w:r w:rsidR="008A78E3">
              <w:rPr>
                <w:rFonts w:ascii="Arial" w:eastAsia="Times New Roman" w:hAnsi="Arial" w:cs="Arial"/>
                <w:sz w:val="20"/>
                <w:szCs w:val="20"/>
                <w:lang w:eastAsia="en-NZ"/>
              </w:rPr>
              <w:t xml:space="preserve"> </w:t>
            </w:r>
            <w:r w:rsidRPr="001D66EA">
              <w:rPr>
                <w:rFonts w:ascii="Arial" w:eastAsia="Times New Roman" w:hAnsi="Arial" w:cs="Arial"/>
                <w:sz w:val="20"/>
                <w:szCs w:val="20"/>
                <w:lang w:eastAsia="en-NZ"/>
              </w:rPr>
              <w:t xml:space="preserve">and begin your assessment by providing them with </w:t>
            </w:r>
            <w:r w:rsidR="008A78E3">
              <w:rPr>
                <w:rFonts w:ascii="Arial" w:eastAsia="Times New Roman" w:hAnsi="Arial" w:cs="Arial"/>
                <w:sz w:val="20"/>
                <w:szCs w:val="20"/>
                <w:lang w:eastAsia="en-NZ"/>
              </w:rPr>
              <w:t xml:space="preserve">a </w:t>
            </w:r>
            <w:r w:rsidR="00D75603">
              <w:rPr>
                <w:rFonts w:ascii="Arial" w:eastAsia="Times New Roman" w:hAnsi="Arial" w:cs="Arial"/>
                <w:sz w:val="20"/>
                <w:szCs w:val="20"/>
                <w:lang w:eastAsia="en-NZ"/>
              </w:rPr>
              <w:t>hypothesis</w:t>
            </w:r>
            <w:r w:rsidR="008A78E3">
              <w:rPr>
                <w:rFonts w:ascii="Arial" w:eastAsia="Times New Roman" w:hAnsi="Arial" w:cs="Arial"/>
                <w:sz w:val="20"/>
                <w:szCs w:val="20"/>
                <w:lang w:eastAsia="en-NZ"/>
              </w:rPr>
              <w:t xml:space="preserve"> already framed</w:t>
            </w:r>
            <w:r w:rsidR="00067CAF">
              <w:rPr>
                <w:rFonts w:ascii="Arial" w:eastAsia="Times New Roman" w:hAnsi="Arial" w:cs="Arial"/>
                <w:sz w:val="20"/>
                <w:szCs w:val="20"/>
                <w:lang w:eastAsia="en-NZ"/>
              </w:rPr>
              <w:t xml:space="preserve"> for them.</w:t>
            </w:r>
          </w:p>
        </w:tc>
      </w:tr>
      <w:tr w:rsidR="005444E7" w:rsidRPr="001D66EA" w14:paraId="29C9302B" w14:textId="77777777" w:rsidTr="002A14F8">
        <w:tc>
          <w:tcPr>
            <w:tcW w:w="3397" w:type="dxa"/>
          </w:tcPr>
          <w:p w14:paraId="7DE554B1" w14:textId="77777777" w:rsidR="005444E7" w:rsidRPr="00EC5CAC" w:rsidRDefault="005444E7" w:rsidP="005D3356">
            <w:pPr>
              <w:spacing w:after="120" w:line="276" w:lineRule="auto"/>
              <w:rPr>
                <w:rFonts w:ascii="Arial" w:eastAsia="Times New Roman" w:hAnsi="Arial" w:cs="Arial"/>
                <w:b/>
                <w:sz w:val="20"/>
                <w:szCs w:val="20"/>
                <w:lang w:eastAsia="en-NZ"/>
              </w:rPr>
            </w:pPr>
            <w:r w:rsidRPr="00EC5CAC">
              <w:rPr>
                <w:rFonts w:ascii="Arial" w:eastAsia="Times New Roman" w:hAnsi="Arial" w:cs="Arial"/>
                <w:b/>
                <w:sz w:val="20"/>
                <w:szCs w:val="20"/>
                <w:lang w:eastAsia="en-NZ"/>
              </w:rPr>
              <w:t>Do I need to complete a template for every student?</w:t>
            </w:r>
          </w:p>
        </w:tc>
        <w:tc>
          <w:tcPr>
            <w:tcW w:w="6096" w:type="dxa"/>
          </w:tcPr>
          <w:p w14:paraId="61EF0615" w14:textId="37EBA398" w:rsidR="005444E7" w:rsidRPr="001D66EA" w:rsidRDefault="005444E7" w:rsidP="005D3356">
            <w:pPr>
              <w:spacing w:after="120" w:line="276" w:lineRule="auto"/>
              <w:rPr>
                <w:rFonts w:ascii="Arial" w:eastAsia="Times New Roman" w:hAnsi="Arial" w:cs="Arial"/>
                <w:sz w:val="20"/>
                <w:szCs w:val="20"/>
                <w:lang w:eastAsia="en-NZ"/>
              </w:rPr>
            </w:pPr>
            <w:r w:rsidRPr="001D66EA">
              <w:rPr>
                <w:rFonts w:ascii="Arial" w:eastAsia="Times New Roman" w:hAnsi="Arial" w:cs="Arial"/>
                <w:sz w:val="20"/>
                <w:szCs w:val="20"/>
                <w:lang w:eastAsia="en-NZ"/>
              </w:rPr>
              <w:t>No, but you need to track that you have seen the evidence for every student. It may be more practical to do this on a spreadsheet or a mark book.</w:t>
            </w:r>
          </w:p>
        </w:tc>
      </w:tr>
      <w:tr w:rsidR="005444E7" w:rsidRPr="001D66EA" w14:paraId="6344263E" w14:textId="77777777" w:rsidTr="002A14F8">
        <w:tc>
          <w:tcPr>
            <w:tcW w:w="3397" w:type="dxa"/>
          </w:tcPr>
          <w:p w14:paraId="2649A19D" w14:textId="77777777" w:rsidR="005444E7" w:rsidRPr="00EC5CAC" w:rsidRDefault="005444E7" w:rsidP="005D3356">
            <w:pPr>
              <w:spacing w:after="120" w:line="276" w:lineRule="auto"/>
              <w:rPr>
                <w:rFonts w:ascii="Arial" w:eastAsia="Times New Roman" w:hAnsi="Arial" w:cs="Arial"/>
                <w:b/>
                <w:sz w:val="20"/>
                <w:szCs w:val="20"/>
                <w:lang w:eastAsia="en-NZ"/>
              </w:rPr>
            </w:pPr>
            <w:r w:rsidRPr="00EC5CAC">
              <w:rPr>
                <w:rFonts w:ascii="Arial" w:eastAsia="Times New Roman" w:hAnsi="Arial" w:cs="Arial"/>
                <w:b/>
                <w:sz w:val="20"/>
                <w:szCs w:val="20"/>
                <w:lang w:eastAsia="en-NZ"/>
              </w:rPr>
              <w:t>Can these templates be used for remote assessment opportunities?</w:t>
            </w:r>
          </w:p>
        </w:tc>
        <w:tc>
          <w:tcPr>
            <w:tcW w:w="6096" w:type="dxa"/>
          </w:tcPr>
          <w:p w14:paraId="71C9BC27" w14:textId="71881BA2" w:rsidR="005444E7" w:rsidRPr="001D66EA" w:rsidRDefault="005444E7" w:rsidP="005D3356">
            <w:pPr>
              <w:spacing w:after="120" w:line="276" w:lineRule="auto"/>
              <w:rPr>
                <w:rFonts w:ascii="Arial" w:eastAsia="Times New Roman" w:hAnsi="Arial" w:cs="Arial"/>
                <w:sz w:val="20"/>
                <w:szCs w:val="20"/>
                <w:lang w:eastAsia="en-NZ"/>
              </w:rPr>
            </w:pPr>
            <w:r w:rsidRPr="001D66EA">
              <w:rPr>
                <w:rFonts w:ascii="Arial" w:eastAsia="Times New Roman" w:hAnsi="Arial" w:cs="Arial"/>
                <w:sz w:val="20"/>
                <w:szCs w:val="20"/>
                <w:lang w:eastAsia="en-NZ"/>
              </w:rPr>
              <w:t>Yes</w:t>
            </w:r>
            <w:r w:rsidR="001C21B4">
              <w:rPr>
                <w:rFonts w:ascii="Arial" w:eastAsia="Times New Roman" w:hAnsi="Arial" w:cs="Arial"/>
                <w:sz w:val="20"/>
                <w:szCs w:val="20"/>
                <w:lang w:eastAsia="en-NZ"/>
              </w:rPr>
              <w:t>. T</w:t>
            </w:r>
            <w:r w:rsidRPr="001D66EA">
              <w:rPr>
                <w:rFonts w:ascii="Arial" w:eastAsia="Times New Roman" w:hAnsi="Arial" w:cs="Arial"/>
                <w:sz w:val="20"/>
                <w:szCs w:val="20"/>
                <w:lang w:eastAsia="en-NZ"/>
              </w:rPr>
              <w:t>he templates can be used to record evidence that is naturally occurring as part of teaching and learning or from assessment activities.</w:t>
            </w:r>
          </w:p>
        </w:tc>
      </w:tr>
      <w:tr w:rsidR="005444E7" w:rsidRPr="001D66EA" w14:paraId="43ACFE86" w14:textId="77777777" w:rsidTr="002A14F8">
        <w:tc>
          <w:tcPr>
            <w:tcW w:w="3397" w:type="dxa"/>
            <w:shd w:val="clear" w:color="auto" w:fill="FFFFFF" w:themeFill="background1"/>
          </w:tcPr>
          <w:p w14:paraId="487BFEF3" w14:textId="77777777" w:rsidR="005444E7" w:rsidRPr="00EC5CAC" w:rsidRDefault="005444E7" w:rsidP="005D3356">
            <w:pPr>
              <w:spacing w:after="120" w:line="276" w:lineRule="auto"/>
              <w:rPr>
                <w:rFonts w:ascii="Arial" w:eastAsia="Times New Roman" w:hAnsi="Arial" w:cs="Arial"/>
                <w:b/>
                <w:sz w:val="20"/>
                <w:szCs w:val="20"/>
                <w:lang w:eastAsia="en-NZ"/>
              </w:rPr>
            </w:pPr>
            <w:r w:rsidRPr="00EC5CAC">
              <w:rPr>
                <w:rFonts w:ascii="Arial" w:eastAsia="Times New Roman" w:hAnsi="Arial" w:cs="Arial"/>
                <w:b/>
                <w:sz w:val="20"/>
                <w:szCs w:val="20"/>
                <w:lang w:eastAsia="en-NZ"/>
              </w:rPr>
              <w:t>How do we manage standards with a practical or performance requirement?</w:t>
            </w:r>
          </w:p>
        </w:tc>
        <w:tc>
          <w:tcPr>
            <w:tcW w:w="6096" w:type="dxa"/>
            <w:shd w:val="clear" w:color="auto" w:fill="FFFFFF" w:themeFill="background1"/>
          </w:tcPr>
          <w:p w14:paraId="57F095BB" w14:textId="77777777" w:rsidR="005444E7" w:rsidRPr="001D66EA" w:rsidRDefault="008D330C" w:rsidP="005D3356">
            <w:pPr>
              <w:spacing w:after="120" w:line="276" w:lineRule="auto"/>
              <w:rPr>
                <w:rFonts w:ascii="Arial" w:eastAsia="Times New Roman" w:hAnsi="Arial" w:cs="Arial"/>
                <w:sz w:val="20"/>
                <w:szCs w:val="20"/>
                <w:highlight w:val="red"/>
                <w:lang w:eastAsia="en-NZ"/>
              </w:rPr>
            </w:pPr>
            <w:r w:rsidRPr="001D66EA">
              <w:rPr>
                <w:rFonts w:ascii="Arial" w:eastAsia="Times New Roman" w:hAnsi="Arial" w:cs="Arial"/>
                <w:sz w:val="20"/>
                <w:szCs w:val="20"/>
                <w:lang w:eastAsia="en-NZ"/>
              </w:rPr>
              <w:t xml:space="preserve">Refer to the remote learning matrices on </w:t>
            </w:r>
            <w:r w:rsidR="00AC21C8" w:rsidRPr="001D66EA">
              <w:rPr>
                <w:rFonts w:ascii="Arial" w:eastAsia="Times New Roman" w:hAnsi="Arial" w:cs="Arial"/>
                <w:sz w:val="20"/>
                <w:szCs w:val="20"/>
                <w:lang w:eastAsia="en-NZ"/>
              </w:rPr>
              <w:t xml:space="preserve">the </w:t>
            </w:r>
            <w:r w:rsidRPr="001D66EA">
              <w:rPr>
                <w:rFonts w:ascii="Arial" w:eastAsia="Times New Roman" w:hAnsi="Arial" w:cs="Arial"/>
                <w:sz w:val="20"/>
                <w:szCs w:val="20"/>
                <w:lang w:eastAsia="en-NZ"/>
              </w:rPr>
              <w:t>subject pages</w:t>
            </w:r>
            <w:r w:rsidR="00AC21C8" w:rsidRPr="001D66EA">
              <w:rPr>
                <w:rFonts w:ascii="Arial" w:eastAsia="Times New Roman" w:hAnsi="Arial" w:cs="Arial"/>
                <w:sz w:val="20"/>
                <w:szCs w:val="20"/>
                <w:lang w:eastAsia="en-NZ"/>
              </w:rPr>
              <w:t xml:space="preserve"> of NZQA’s website</w:t>
            </w:r>
            <w:r w:rsidRPr="001D66EA">
              <w:rPr>
                <w:rFonts w:ascii="Arial" w:eastAsia="Times New Roman" w:hAnsi="Arial" w:cs="Arial"/>
                <w:sz w:val="20"/>
                <w:szCs w:val="20"/>
                <w:lang w:eastAsia="en-NZ"/>
              </w:rPr>
              <w:t>.</w:t>
            </w:r>
          </w:p>
        </w:tc>
      </w:tr>
    </w:tbl>
    <w:p w14:paraId="5EAD417B" w14:textId="77777777" w:rsidR="00C81997" w:rsidRPr="001D66EA" w:rsidRDefault="00C81997" w:rsidP="005D3356">
      <w:pPr>
        <w:spacing w:line="276" w:lineRule="auto"/>
      </w:pPr>
    </w:p>
    <w:sectPr w:rsidR="00C81997" w:rsidRPr="001D66EA" w:rsidSect="00013CB8">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B60FE" w14:textId="77777777" w:rsidR="004C6E49" w:rsidRDefault="004C6E49" w:rsidP="004C6E49">
      <w:pPr>
        <w:spacing w:after="0" w:line="240" w:lineRule="auto"/>
      </w:pPr>
      <w:r>
        <w:separator/>
      </w:r>
    </w:p>
  </w:endnote>
  <w:endnote w:type="continuationSeparator" w:id="0">
    <w:p w14:paraId="4CBDBED9" w14:textId="77777777" w:rsidR="004C6E49" w:rsidRDefault="004C6E49" w:rsidP="004C6E49">
      <w:pPr>
        <w:spacing w:after="0" w:line="240" w:lineRule="auto"/>
      </w:pPr>
      <w:r>
        <w:continuationSeparator/>
      </w:r>
    </w:p>
  </w:endnote>
  <w:endnote w:type="continuationNotice" w:id="1">
    <w:p w14:paraId="6745A4D4" w14:textId="77777777" w:rsidR="004C6E49" w:rsidRDefault="004C6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monospace">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240188"/>
      <w:docPartObj>
        <w:docPartGallery w:val="Page Numbers (Bottom of Page)"/>
        <w:docPartUnique/>
      </w:docPartObj>
    </w:sdtPr>
    <w:sdtEndPr>
      <w:rPr>
        <w:noProof/>
      </w:rPr>
    </w:sdtEndPr>
    <w:sdtContent>
      <w:p w14:paraId="16FBBE1E" w14:textId="28247BFF" w:rsidR="00937EDB" w:rsidRDefault="00937E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40A93C" w14:textId="77777777" w:rsidR="004C6E49" w:rsidRDefault="004C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1297A" w14:textId="77777777" w:rsidR="004C6E49" w:rsidRDefault="004C6E49" w:rsidP="004C6E49">
      <w:pPr>
        <w:spacing w:after="0" w:line="240" w:lineRule="auto"/>
      </w:pPr>
      <w:r>
        <w:separator/>
      </w:r>
    </w:p>
  </w:footnote>
  <w:footnote w:type="continuationSeparator" w:id="0">
    <w:p w14:paraId="7DF085B4" w14:textId="77777777" w:rsidR="004C6E49" w:rsidRDefault="004C6E49" w:rsidP="004C6E49">
      <w:pPr>
        <w:spacing w:after="0" w:line="240" w:lineRule="auto"/>
      </w:pPr>
      <w:r>
        <w:continuationSeparator/>
      </w:r>
    </w:p>
  </w:footnote>
  <w:footnote w:type="continuationNotice" w:id="1">
    <w:p w14:paraId="0E3A23AE" w14:textId="77777777" w:rsidR="004C6E49" w:rsidRDefault="004C6E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1C5"/>
    <w:multiLevelType w:val="hybridMultilevel"/>
    <w:tmpl w:val="C0200B90"/>
    <w:lvl w:ilvl="0" w:tplc="03620BFA">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E002277"/>
    <w:multiLevelType w:val="hybridMultilevel"/>
    <w:tmpl w:val="C174FD46"/>
    <w:lvl w:ilvl="0" w:tplc="13504198">
      <w:start w:val="1"/>
      <w:numFmt w:val="bullet"/>
      <w:lvlText w:val="•"/>
      <w:lvlJc w:val="left"/>
      <w:pPr>
        <w:tabs>
          <w:tab w:val="num" w:pos="360"/>
        </w:tabs>
        <w:ind w:left="360" w:hanging="360"/>
      </w:pPr>
      <w:rPr>
        <w:rFonts w:ascii="Arial" w:hAnsi="Arial" w:hint="default"/>
      </w:rPr>
    </w:lvl>
    <w:lvl w:ilvl="1" w:tplc="C5E467A2" w:tentative="1">
      <w:start w:val="1"/>
      <w:numFmt w:val="bullet"/>
      <w:lvlText w:val="•"/>
      <w:lvlJc w:val="left"/>
      <w:pPr>
        <w:tabs>
          <w:tab w:val="num" w:pos="1080"/>
        </w:tabs>
        <w:ind w:left="1080" w:hanging="360"/>
      </w:pPr>
      <w:rPr>
        <w:rFonts w:ascii="Arial" w:hAnsi="Arial" w:hint="default"/>
      </w:rPr>
    </w:lvl>
    <w:lvl w:ilvl="2" w:tplc="1EBEAAFA" w:tentative="1">
      <w:start w:val="1"/>
      <w:numFmt w:val="bullet"/>
      <w:lvlText w:val="•"/>
      <w:lvlJc w:val="left"/>
      <w:pPr>
        <w:tabs>
          <w:tab w:val="num" w:pos="1800"/>
        </w:tabs>
        <w:ind w:left="1800" w:hanging="360"/>
      </w:pPr>
      <w:rPr>
        <w:rFonts w:ascii="Arial" w:hAnsi="Arial" w:hint="default"/>
      </w:rPr>
    </w:lvl>
    <w:lvl w:ilvl="3" w:tplc="C29ED9DC" w:tentative="1">
      <w:start w:val="1"/>
      <w:numFmt w:val="bullet"/>
      <w:lvlText w:val="•"/>
      <w:lvlJc w:val="left"/>
      <w:pPr>
        <w:tabs>
          <w:tab w:val="num" w:pos="2520"/>
        </w:tabs>
        <w:ind w:left="2520" w:hanging="360"/>
      </w:pPr>
      <w:rPr>
        <w:rFonts w:ascii="Arial" w:hAnsi="Arial" w:hint="default"/>
      </w:rPr>
    </w:lvl>
    <w:lvl w:ilvl="4" w:tplc="6AC6BB22" w:tentative="1">
      <w:start w:val="1"/>
      <w:numFmt w:val="bullet"/>
      <w:lvlText w:val="•"/>
      <w:lvlJc w:val="left"/>
      <w:pPr>
        <w:tabs>
          <w:tab w:val="num" w:pos="3240"/>
        </w:tabs>
        <w:ind w:left="3240" w:hanging="360"/>
      </w:pPr>
      <w:rPr>
        <w:rFonts w:ascii="Arial" w:hAnsi="Arial" w:hint="default"/>
      </w:rPr>
    </w:lvl>
    <w:lvl w:ilvl="5" w:tplc="A1FE21B0" w:tentative="1">
      <w:start w:val="1"/>
      <w:numFmt w:val="bullet"/>
      <w:lvlText w:val="•"/>
      <w:lvlJc w:val="left"/>
      <w:pPr>
        <w:tabs>
          <w:tab w:val="num" w:pos="3960"/>
        </w:tabs>
        <w:ind w:left="3960" w:hanging="360"/>
      </w:pPr>
      <w:rPr>
        <w:rFonts w:ascii="Arial" w:hAnsi="Arial" w:hint="default"/>
      </w:rPr>
    </w:lvl>
    <w:lvl w:ilvl="6" w:tplc="A8B6B6D6" w:tentative="1">
      <w:start w:val="1"/>
      <w:numFmt w:val="bullet"/>
      <w:lvlText w:val="•"/>
      <w:lvlJc w:val="left"/>
      <w:pPr>
        <w:tabs>
          <w:tab w:val="num" w:pos="4680"/>
        </w:tabs>
        <w:ind w:left="4680" w:hanging="360"/>
      </w:pPr>
      <w:rPr>
        <w:rFonts w:ascii="Arial" w:hAnsi="Arial" w:hint="default"/>
      </w:rPr>
    </w:lvl>
    <w:lvl w:ilvl="7" w:tplc="ADD075C0" w:tentative="1">
      <w:start w:val="1"/>
      <w:numFmt w:val="bullet"/>
      <w:lvlText w:val="•"/>
      <w:lvlJc w:val="left"/>
      <w:pPr>
        <w:tabs>
          <w:tab w:val="num" w:pos="5400"/>
        </w:tabs>
        <w:ind w:left="5400" w:hanging="360"/>
      </w:pPr>
      <w:rPr>
        <w:rFonts w:ascii="Arial" w:hAnsi="Arial" w:hint="default"/>
      </w:rPr>
    </w:lvl>
    <w:lvl w:ilvl="8" w:tplc="A642C65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D793C7A"/>
    <w:multiLevelType w:val="hybridMultilevel"/>
    <w:tmpl w:val="BFE4299E"/>
    <w:lvl w:ilvl="0" w:tplc="511858DC">
      <w:start w:val="1"/>
      <w:numFmt w:val="bullet"/>
      <w:lvlText w:val="o"/>
      <w:lvlJc w:val="left"/>
      <w:pPr>
        <w:ind w:left="360" w:hanging="360"/>
      </w:pPr>
      <w:rPr>
        <w:rFonts w:ascii="Courier New,monospace" w:hAnsi="Courier New,monospace"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93403DB"/>
    <w:multiLevelType w:val="hybridMultilevel"/>
    <w:tmpl w:val="4F224C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CA16075"/>
    <w:multiLevelType w:val="hybridMultilevel"/>
    <w:tmpl w:val="60CCE12A"/>
    <w:lvl w:ilvl="0" w:tplc="511858DC">
      <w:start w:val="1"/>
      <w:numFmt w:val="bullet"/>
      <w:lvlText w:val="o"/>
      <w:lvlJc w:val="left"/>
      <w:pPr>
        <w:ind w:left="360" w:hanging="360"/>
      </w:pPr>
      <w:rPr>
        <w:rFonts w:ascii="Courier New,monospace" w:hAnsi="Courier New,monospace"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FE235D5"/>
    <w:multiLevelType w:val="hybridMultilevel"/>
    <w:tmpl w:val="F7B806E8"/>
    <w:lvl w:ilvl="0" w:tplc="511858DC">
      <w:start w:val="1"/>
      <w:numFmt w:val="bullet"/>
      <w:lvlText w:val="o"/>
      <w:lvlJc w:val="left"/>
      <w:pPr>
        <w:ind w:left="360" w:hanging="360"/>
      </w:pPr>
      <w:rPr>
        <w:rFonts w:ascii="Courier New,monospace" w:hAnsi="Courier New,monospace"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DCF6A88"/>
    <w:multiLevelType w:val="hybridMultilevel"/>
    <w:tmpl w:val="70F6E798"/>
    <w:lvl w:ilvl="0" w:tplc="511858DC">
      <w:start w:val="1"/>
      <w:numFmt w:val="bullet"/>
      <w:lvlText w:val="o"/>
      <w:lvlJc w:val="left"/>
      <w:pPr>
        <w:tabs>
          <w:tab w:val="num" w:pos="360"/>
        </w:tabs>
        <w:ind w:left="360" w:hanging="360"/>
      </w:pPr>
      <w:rPr>
        <w:rFonts w:ascii="Courier New,monospace" w:hAnsi="Courier New,monospace" w:hint="default"/>
      </w:rPr>
    </w:lvl>
    <w:lvl w:ilvl="1" w:tplc="6A0A9C16">
      <w:start w:val="1"/>
      <w:numFmt w:val="bullet"/>
      <w:lvlText w:val="o"/>
      <w:lvlJc w:val="left"/>
      <w:pPr>
        <w:tabs>
          <w:tab w:val="num" w:pos="1080"/>
        </w:tabs>
        <w:ind w:left="1080" w:hanging="360"/>
      </w:pPr>
      <w:rPr>
        <w:rFonts w:ascii="Courier New,monospace" w:hAnsi="Courier New,monospace" w:hint="default"/>
      </w:rPr>
    </w:lvl>
    <w:lvl w:ilvl="2" w:tplc="8B50E0A6" w:tentative="1">
      <w:start w:val="1"/>
      <w:numFmt w:val="bullet"/>
      <w:lvlText w:val="o"/>
      <w:lvlJc w:val="left"/>
      <w:pPr>
        <w:tabs>
          <w:tab w:val="num" w:pos="1800"/>
        </w:tabs>
        <w:ind w:left="1800" w:hanging="360"/>
      </w:pPr>
      <w:rPr>
        <w:rFonts w:ascii="Courier New,monospace" w:hAnsi="Courier New,monospace" w:hint="default"/>
      </w:rPr>
    </w:lvl>
    <w:lvl w:ilvl="3" w:tplc="CC044C96" w:tentative="1">
      <w:start w:val="1"/>
      <w:numFmt w:val="bullet"/>
      <w:lvlText w:val="o"/>
      <w:lvlJc w:val="left"/>
      <w:pPr>
        <w:tabs>
          <w:tab w:val="num" w:pos="2520"/>
        </w:tabs>
        <w:ind w:left="2520" w:hanging="360"/>
      </w:pPr>
      <w:rPr>
        <w:rFonts w:ascii="Courier New,monospace" w:hAnsi="Courier New,monospace" w:hint="default"/>
      </w:rPr>
    </w:lvl>
    <w:lvl w:ilvl="4" w:tplc="8DAC9850" w:tentative="1">
      <w:start w:val="1"/>
      <w:numFmt w:val="bullet"/>
      <w:lvlText w:val="o"/>
      <w:lvlJc w:val="left"/>
      <w:pPr>
        <w:tabs>
          <w:tab w:val="num" w:pos="3240"/>
        </w:tabs>
        <w:ind w:left="3240" w:hanging="360"/>
      </w:pPr>
      <w:rPr>
        <w:rFonts w:ascii="Courier New,monospace" w:hAnsi="Courier New,monospace" w:hint="default"/>
      </w:rPr>
    </w:lvl>
    <w:lvl w:ilvl="5" w:tplc="DC623E1C" w:tentative="1">
      <w:start w:val="1"/>
      <w:numFmt w:val="bullet"/>
      <w:lvlText w:val="o"/>
      <w:lvlJc w:val="left"/>
      <w:pPr>
        <w:tabs>
          <w:tab w:val="num" w:pos="3960"/>
        </w:tabs>
        <w:ind w:left="3960" w:hanging="360"/>
      </w:pPr>
      <w:rPr>
        <w:rFonts w:ascii="Courier New,monospace" w:hAnsi="Courier New,monospace" w:hint="default"/>
      </w:rPr>
    </w:lvl>
    <w:lvl w:ilvl="6" w:tplc="0EE24E26" w:tentative="1">
      <w:start w:val="1"/>
      <w:numFmt w:val="bullet"/>
      <w:lvlText w:val="o"/>
      <w:lvlJc w:val="left"/>
      <w:pPr>
        <w:tabs>
          <w:tab w:val="num" w:pos="4680"/>
        </w:tabs>
        <w:ind w:left="4680" w:hanging="360"/>
      </w:pPr>
      <w:rPr>
        <w:rFonts w:ascii="Courier New,monospace" w:hAnsi="Courier New,monospace" w:hint="default"/>
      </w:rPr>
    </w:lvl>
    <w:lvl w:ilvl="7" w:tplc="643E26C8" w:tentative="1">
      <w:start w:val="1"/>
      <w:numFmt w:val="bullet"/>
      <w:lvlText w:val="o"/>
      <w:lvlJc w:val="left"/>
      <w:pPr>
        <w:tabs>
          <w:tab w:val="num" w:pos="5400"/>
        </w:tabs>
        <w:ind w:left="5400" w:hanging="360"/>
      </w:pPr>
      <w:rPr>
        <w:rFonts w:ascii="Courier New,monospace" w:hAnsi="Courier New,monospace" w:hint="default"/>
      </w:rPr>
    </w:lvl>
    <w:lvl w:ilvl="8" w:tplc="4DBED618" w:tentative="1">
      <w:start w:val="1"/>
      <w:numFmt w:val="bullet"/>
      <w:lvlText w:val="o"/>
      <w:lvlJc w:val="left"/>
      <w:pPr>
        <w:tabs>
          <w:tab w:val="num" w:pos="6120"/>
        </w:tabs>
        <w:ind w:left="6120" w:hanging="360"/>
      </w:pPr>
      <w:rPr>
        <w:rFonts w:ascii="Courier New,monospace" w:hAnsi="Courier New,monospace"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BD"/>
    <w:rsid w:val="00013985"/>
    <w:rsid w:val="00013CB8"/>
    <w:rsid w:val="0001442B"/>
    <w:rsid w:val="00061794"/>
    <w:rsid w:val="00065F99"/>
    <w:rsid w:val="00067CAF"/>
    <w:rsid w:val="000713C6"/>
    <w:rsid w:val="0007642B"/>
    <w:rsid w:val="00081E98"/>
    <w:rsid w:val="00083454"/>
    <w:rsid w:val="00095063"/>
    <w:rsid w:val="00095A70"/>
    <w:rsid w:val="000F6F94"/>
    <w:rsid w:val="00111918"/>
    <w:rsid w:val="001125AA"/>
    <w:rsid w:val="00131421"/>
    <w:rsid w:val="00141C6A"/>
    <w:rsid w:val="00161450"/>
    <w:rsid w:val="00184352"/>
    <w:rsid w:val="001A09DC"/>
    <w:rsid w:val="001B1082"/>
    <w:rsid w:val="001B608D"/>
    <w:rsid w:val="001C21B4"/>
    <w:rsid w:val="001D1D5E"/>
    <w:rsid w:val="001D66EA"/>
    <w:rsid w:val="001D6BE7"/>
    <w:rsid w:val="001E0952"/>
    <w:rsid w:val="001E472C"/>
    <w:rsid w:val="001E7B5C"/>
    <w:rsid w:val="002049CA"/>
    <w:rsid w:val="002141EF"/>
    <w:rsid w:val="00232044"/>
    <w:rsid w:val="002610D6"/>
    <w:rsid w:val="002A14F8"/>
    <w:rsid w:val="002A3C31"/>
    <w:rsid w:val="002D3E8A"/>
    <w:rsid w:val="002E1D54"/>
    <w:rsid w:val="002F31D0"/>
    <w:rsid w:val="0030203C"/>
    <w:rsid w:val="0035076D"/>
    <w:rsid w:val="00360823"/>
    <w:rsid w:val="00367DB9"/>
    <w:rsid w:val="00370C66"/>
    <w:rsid w:val="00381273"/>
    <w:rsid w:val="00387FED"/>
    <w:rsid w:val="003A6442"/>
    <w:rsid w:val="003E5573"/>
    <w:rsid w:val="003F67D4"/>
    <w:rsid w:val="00414DC3"/>
    <w:rsid w:val="00442AC7"/>
    <w:rsid w:val="0045055B"/>
    <w:rsid w:val="0047016C"/>
    <w:rsid w:val="00481E40"/>
    <w:rsid w:val="0048650F"/>
    <w:rsid w:val="004B5A2D"/>
    <w:rsid w:val="004B6DBD"/>
    <w:rsid w:val="004C5F35"/>
    <w:rsid w:val="004C6E49"/>
    <w:rsid w:val="004E51AB"/>
    <w:rsid w:val="004E71A4"/>
    <w:rsid w:val="005134ED"/>
    <w:rsid w:val="00513675"/>
    <w:rsid w:val="00515192"/>
    <w:rsid w:val="00516432"/>
    <w:rsid w:val="00524156"/>
    <w:rsid w:val="00525D7F"/>
    <w:rsid w:val="005444E7"/>
    <w:rsid w:val="00575007"/>
    <w:rsid w:val="005A2DB8"/>
    <w:rsid w:val="005A4D65"/>
    <w:rsid w:val="005A66CE"/>
    <w:rsid w:val="005A725D"/>
    <w:rsid w:val="005B1510"/>
    <w:rsid w:val="005B37BA"/>
    <w:rsid w:val="005B6041"/>
    <w:rsid w:val="005C4FCB"/>
    <w:rsid w:val="005D3356"/>
    <w:rsid w:val="005E1CCE"/>
    <w:rsid w:val="005F177F"/>
    <w:rsid w:val="00651260"/>
    <w:rsid w:val="00653A57"/>
    <w:rsid w:val="006924F5"/>
    <w:rsid w:val="00695A73"/>
    <w:rsid w:val="006B1C15"/>
    <w:rsid w:val="006D16B8"/>
    <w:rsid w:val="006D608E"/>
    <w:rsid w:val="006D65DE"/>
    <w:rsid w:val="00715500"/>
    <w:rsid w:val="00725309"/>
    <w:rsid w:val="00726BC7"/>
    <w:rsid w:val="007A0031"/>
    <w:rsid w:val="007A3001"/>
    <w:rsid w:val="007B66CB"/>
    <w:rsid w:val="007D4252"/>
    <w:rsid w:val="007F08F0"/>
    <w:rsid w:val="007F0D73"/>
    <w:rsid w:val="007F56FB"/>
    <w:rsid w:val="0083567E"/>
    <w:rsid w:val="0085234A"/>
    <w:rsid w:val="0088445B"/>
    <w:rsid w:val="008A78E3"/>
    <w:rsid w:val="008C28E1"/>
    <w:rsid w:val="008D330C"/>
    <w:rsid w:val="008F606F"/>
    <w:rsid w:val="009222D0"/>
    <w:rsid w:val="00937EDB"/>
    <w:rsid w:val="00967CD4"/>
    <w:rsid w:val="0097092B"/>
    <w:rsid w:val="00972BAD"/>
    <w:rsid w:val="009C3C5F"/>
    <w:rsid w:val="00A07D3F"/>
    <w:rsid w:val="00A277AB"/>
    <w:rsid w:val="00A84BA9"/>
    <w:rsid w:val="00A87AA3"/>
    <w:rsid w:val="00AC21C8"/>
    <w:rsid w:val="00AD132F"/>
    <w:rsid w:val="00B10B6F"/>
    <w:rsid w:val="00B160AE"/>
    <w:rsid w:val="00B244C6"/>
    <w:rsid w:val="00B341D4"/>
    <w:rsid w:val="00B47724"/>
    <w:rsid w:val="00B829F8"/>
    <w:rsid w:val="00BB2435"/>
    <w:rsid w:val="00BB2618"/>
    <w:rsid w:val="00BD2E9D"/>
    <w:rsid w:val="00BD79E7"/>
    <w:rsid w:val="00BE1573"/>
    <w:rsid w:val="00BF2550"/>
    <w:rsid w:val="00BF5ABD"/>
    <w:rsid w:val="00C335F6"/>
    <w:rsid w:val="00C5471A"/>
    <w:rsid w:val="00C66729"/>
    <w:rsid w:val="00C72536"/>
    <w:rsid w:val="00C81997"/>
    <w:rsid w:val="00CA4CA3"/>
    <w:rsid w:val="00CC342E"/>
    <w:rsid w:val="00CD16AD"/>
    <w:rsid w:val="00CD4B22"/>
    <w:rsid w:val="00CD7ABB"/>
    <w:rsid w:val="00CF31C5"/>
    <w:rsid w:val="00D24D96"/>
    <w:rsid w:val="00D66A1E"/>
    <w:rsid w:val="00D75603"/>
    <w:rsid w:val="00D93D3E"/>
    <w:rsid w:val="00D9427D"/>
    <w:rsid w:val="00DA5019"/>
    <w:rsid w:val="00DD2468"/>
    <w:rsid w:val="00DD3E3E"/>
    <w:rsid w:val="00E26690"/>
    <w:rsid w:val="00E36691"/>
    <w:rsid w:val="00E37C56"/>
    <w:rsid w:val="00E41424"/>
    <w:rsid w:val="00E53EE1"/>
    <w:rsid w:val="00E66060"/>
    <w:rsid w:val="00E75CB1"/>
    <w:rsid w:val="00EC5CAC"/>
    <w:rsid w:val="00EE0202"/>
    <w:rsid w:val="00EE2056"/>
    <w:rsid w:val="00F0549D"/>
    <w:rsid w:val="00F143BE"/>
    <w:rsid w:val="00F16F54"/>
    <w:rsid w:val="00F33147"/>
    <w:rsid w:val="00F35099"/>
    <w:rsid w:val="00F54FFD"/>
    <w:rsid w:val="00F60959"/>
    <w:rsid w:val="00F80264"/>
    <w:rsid w:val="00F8775F"/>
    <w:rsid w:val="00FA73D4"/>
    <w:rsid w:val="00FB26E9"/>
    <w:rsid w:val="00FC1EAA"/>
    <w:rsid w:val="00FD3EBC"/>
    <w:rsid w:val="00FE79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0A72"/>
  <w15:chartTrackingRefBased/>
  <w15:docId w15:val="{B5C96CE6-1BCE-4496-A078-0B393A86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D54"/>
    <w:pPr>
      <w:ind w:left="720"/>
      <w:contextualSpacing/>
    </w:pPr>
  </w:style>
  <w:style w:type="paragraph" w:styleId="BalloonText">
    <w:name w:val="Balloon Text"/>
    <w:basedOn w:val="Normal"/>
    <w:link w:val="BalloonTextChar"/>
    <w:uiPriority w:val="99"/>
    <w:semiHidden/>
    <w:unhideWhenUsed/>
    <w:rsid w:val="00EE0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202"/>
    <w:rPr>
      <w:rFonts w:ascii="Segoe UI" w:hAnsi="Segoe UI" w:cs="Segoe UI"/>
      <w:sz w:val="18"/>
      <w:szCs w:val="18"/>
    </w:rPr>
  </w:style>
  <w:style w:type="character" w:styleId="CommentReference">
    <w:name w:val="annotation reference"/>
    <w:basedOn w:val="DefaultParagraphFont"/>
    <w:uiPriority w:val="99"/>
    <w:semiHidden/>
    <w:unhideWhenUsed/>
    <w:rsid w:val="006D65DE"/>
    <w:rPr>
      <w:sz w:val="16"/>
      <w:szCs w:val="16"/>
    </w:rPr>
  </w:style>
  <w:style w:type="paragraph" w:styleId="CommentText">
    <w:name w:val="annotation text"/>
    <w:basedOn w:val="Normal"/>
    <w:link w:val="CommentTextChar"/>
    <w:uiPriority w:val="99"/>
    <w:semiHidden/>
    <w:unhideWhenUsed/>
    <w:rsid w:val="006D65DE"/>
    <w:pPr>
      <w:spacing w:line="240" w:lineRule="auto"/>
    </w:pPr>
    <w:rPr>
      <w:sz w:val="20"/>
      <w:szCs w:val="20"/>
    </w:rPr>
  </w:style>
  <w:style w:type="character" w:customStyle="1" w:styleId="CommentTextChar">
    <w:name w:val="Comment Text Char"/>
    <w:basedOn w:val="DefaultParagraphFont"/>
    <w:link w:val="CommentText"/>
    <w:uiPriority w:val="99"/>
    <w:semiHidden/>
    <w:rsid w:val="006D65DE"/>
    <w:rPr>
      <w:sz w:val="20"/>
      <w:szCs w:val="20"/>
    </w:rPr>
  </w:style>
  <w:style w:type="paragraph" w:styleId="CommentSubject">
    <w:name w:val="annotation subject"/>
    <w:basedOn w:val="CommentText"/>
    <w:next w:val="CommentText"/>
    <w:link w:val="CommentSubjectChar"/>
    <w:uiPriority w:val="99"/>
    <w:semiHidden/>
    <w:unhideWhenUsed/>
    <w:rsid w:val="006D65DE"/>
    <w:rPr>
      <w:b/>
      <w:bCs/>
    </w:rPr>
  </w:style>
  <w:style w:type="character" w:customStyle="1" w:styleId="CommentSubjectChar">
    <w:name w:val="Comment Subject Char"/>
    <w:basedOn w:val="CommentTextChar"/>
    <w:link w:val="CommentSubject"/>
    <w:uiPriority w:val="99"/>
    <w:semiHidden/>
    <w:rsid w:val="006D65DE"/>
    <w:rPr>
      <w:b/>
      <w:bCs/>
      <w:sz w:val="20"/>
      <w:szCs w:val="20"/>
    </w:rPr>
  </w:style>
  <w:style w:type="paragraph" w:styleId="Header">
    <w:name w:val="header"/>
    <w:basedOn w:val="Normal"/>
    <w:link w:val="HeaderChar"/>
    <w:uiPriority w:val="99"/>
    <w:unhideWhenUsed/>
    <w:rsid w:val="004C6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E49"/>
  </w:style>
  <w:style w:type="paragraph" w:styleId="Footer">
    <w:name w:val="footer"/>
    <w:basedOn w:val="Normal"/>
    <w:link w:val="FooterChar"/>
    <w:uiPriority w:val="99"/>
    <w:unhideWhenUsed/>
    <w:rsid w:val="004C6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92673">
      <w:bodyDiv w:val="1"/>
      <w:marLeft w:val="0"/>
      <w:marRight w:val="0"/>
      <w:marTop w:val="0"/>
      <w:marBottom w:val="0"/>
      <w:divBdr>
        <w:top w:val="none" w:sz="0" w:space="0" w:color="auto"/>
        <w:left w:val="none" w:sz="0" w:space="0" w:color="auto"/>
        <w:bottom w:val="none" w:sz="0" w:space="0" w:color="auto"/>
        <w:right w:val="none" w:sz="0" w:space="0" w:color="auto"/>
      </w:divBdr>
      <w:divsChild>
        <w:div w:id="595988882">
          <w:marLeft w:val="1267"/>
          <w:marRight w:val="0"/>
          <w:marTop w:val="0"/>
          <w:marBottom w:val="0"/>
          <w:divBdr>
            <w:top w:val="none" w:sz="0" w:space="0" w:color="auto"/>
            <w:left w:val="none" w:sz="0" w:space="0" w:color="auto"/>
            <w:bottom w:val="none" w:sz="0" w:space="0" w:color="auto"/>
            <w:right w:val="none" w:sz="0" w:space="0" w:color="auto"/>
          </w:divBdr>
        </w:div>
        <w:div w:id="608855170">
          <w:marLeft w:val="547"/>
          <w:marRight w:val="0"/>
          <w:marTop w:val="0"/>
          <w:marBottom w:val="0"/>
          <w:divBdr>
            <w:top w:val="none" w:sz="0" w:space="0" w:color="auto"/>
            <w:left w:val="none" w:sz="0" w:space="0" w:color="auto"/>
            <w:bottom w:val="none" w:sz="0" w:space="0" w:color="auto"/>
            <w:right w:val="none" w:sz="0" w:space="0" w:color="auto"/>
          </w:divBdr>
        </w:div>
        <w:div w:id="1111706860">
          <w:marLeft w:val="1267"/>
          <w:marRight w:val="0"/>
          <w:marTop w:val="0"/>
          <w:marBottom w:val="0"/>
          <w:divBdr>
            <w:top w:val="none" w:sz="0" w:space="0" w:color="auto"/>
            <w:left w:val="none" w:sz="0" w:space="0" w:color="auto"/>
            <w:bottom w:val="none" w:sz="0" w:space="0" w:color="auto"/>
            <w:right w:val="none" w:sz="0" w:space="0" w:color="auto"/>
          </w:divBdr>
        </w:div>
        <w:div w:id="1228227119">
          <w:marLeft w:val="547"/>
          <w:marRight w:val="0"/>
          <w:marTop w:val="0"/>
          <w:marBottom w:val="0"/>
          <w:divBdr>
            <w:top w:val="none" w:sz="0" w:space="0" w:color="auto"/>
            <w:left w:val="none" w:sz="0" w:space="0" w:color="auto"/>
            <w:bottom w:val="none" w:sz="0" w:space="0" w:color="auto"/>
            <w:right w:val="none" w:sz="0" w:space="0" w:color="auto"/>
          </w:divBdr>
        </w:div>
      </w:divsChild>
    </w:div>
    <w:div w:id="1485781788">
      <w:bodyDiv w:val="1"/>
      <w:marLeft w:val="0"/>
      <w:marRight w:val="0"/>
      <w:marTop w:val="0"/>
      <w:marBottom w:val="0"/>
      <w:divBdr>
        <w:top w:val="none" w:sz="0" w:space="0" w:color="auto"/>
        <w:left w:val="none" w:sz="0" w:space="0" w:color="auto"/>
        <w:bottom w:val="none" w:sz="0" w:space="0" w:color="auto"/>
        <w:right w:val="none" w:sz="0" w:space="0" w:color="auto"/>
      </w:divBdr>
      <w:divsChild>
        <w:div w:id="295374287">
          <w:marLeft w:val="0"/>
          <w:marRight w:val="0"/>
          <w:marTop w:val="120"/>
          <w:marBottom w:val="120"/>
          <w:divBdr>
            <w:top w:val="none" w:sz="0" w:space="0" w:color="auto"/>
            <w:left w:val="none" w:sz="0" w:space="0" w:color="auto"/>
            <w:bottom w:val="none" w:sz="0" w:space="0" w:color="auto"/>
            <w:right w:val="none" w:sz="0" w:space="0" w:color="auto"/>
          </w:divBdr>
          <w:divsChild>
            <w:div w:id="1702852567">
              <w:marLeft w:val="0"/>
              <w:marRight w:val="0"/>
              <w:marTop w:val="0"/>
              <w:marBottom w:val="0"/>
              <w:divBdr>
                <w:top w:val="none" w:sz="0" w:space="0" w:color="auto"/>
                <w:left w:val="none" w:sz="0" w:space="0" w:color="auto"/>
                <w:bottom w:val="none" w:sz="0" w:space="0" w:color="auto"/>
                <w:right w:val="none" w:sz="0" w:space="0" w:color="auto"/>
              </w:divBdr>
            </w:div>
          </w:divsChild>
        </w:div>
        <w:div w:id="315303020">
          <w:marLeft w:val="0"/>
          <w:marRight w:val="0"/>
          <w:marTop w:val="0"/>
          <w:marBottom w:val="120"/>
          <w:divBdr>
            <w:top w:val="none" w:sz="0" w:space="0" w:color="auto"/>
            <w:left w:val="none" w:sz="0" w:space="0" w:color="auto"/>
            <w:bottom w:val="none" w:sz="0" w:space="0" w:color="auto"/>
            <w:right w:val="none" w:sz="0" w:space="0" w:color="auto"/>
          </w:divBdr>
          <w:divsChild>
            <w:div w:id="516161653">
              <w:marLeft w:val="0"/>
              <w:marRight w:val="0"/>
              <w:marTop w:val="0"/>
              <w:marBottom w:val="0"/>
              <w:divBdr>
                <w:top w:val="none" w:sz="0" w:space="0" w:color="auto"/>
                <w:left w:val="none" w:sz="0" w:space="0" w:color="auto"/>
                <w:bottom w:val="none" w:sz="0" w:space="0" w:color="auto"/>
                <w:right w:val="none" w:sz="0" w:space="0" w:color="auto"/>
              </w:divBdr>
            </w:div>
          </w:divsChild>
        </w:div>
        <w:div w:id="744646757">
          <w:marLeft w:val="0"/>
          <w:marRight w:val="0"/>
          <w:marTop w:val="0"/>
          <w:marBottom w:val="120"/>
          <w:divBdr>
            <w:top w:val="none" w:sz="0" w:space="0" w:color="auto"/>
            <w:left w:val="none" w:sz="0" w:space="0" w:color="auto"/>
            <w:bottom w:val="none" w:sz="0" w:space="0" w:color="auto"/>
            <w:right w:val="none" w:sz="0" w:space="0" w:color="auto"/>
          </w:divBdr>
          <w:divsChild>
            <w:div w:id="1455171588">
              <w:marLeft w:val="0"/>
              <w:marRight w:val="0"/>
              <w:marTop w:val="0"/>
              <w:marBottom w:val="0"/>
              <w:divBdr>
                <w:top w:val="none" w:sz="0" w:space="0" w:color="auto"/>
                <w:left w:val="none" w:sz="0" w:space="0" w:color="auto"/>
                <w:bottom w:val="none" w:sz="0" w:space="0" w:color="auto"/>
                <w:right w:val="none" w:sz="0" w:space="0" w:color="auto"/>
              </w:divBdr>
            </w:div>
          </w:divsChild>
        </w:div>
        <w:div w:id="1503010994">
          <w:marLeft w:val="0"/>
          <w:marRight w:val="0"/>
          <w:marTop w:val="0"/>
          <w:marBottom w:val="120"/>
          <w:divBdr>
            <w:top w:val="none" w:sz="0" w:space="0" w:color="auto"/>
            <w:left w:val="none" w:sz="0" w:space="0" w:color="auto"/>
            <w:bottom w:val="none" w:sz="0" w:space="0" w:color="auto"/>
            <w:right w:val="none" w:sz="0" w:space="0" w:color="auto"/>
          </w:divBdr>
          <w:divsChild>
            <w:div w:id="12846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0C77C83C6E3498D180242DDABBD3F" ma:contentTypeVersion="8" ma:contentTypeDescription="Create a new document." ma:contentTypeScope="" ma:versionID="1b34ab49ffeaa746fd848c5054bf5dae">
  <xsd:schema xmlns:xsd="http://www.w3.org/2001/XMLSchema" xmlns:xs="http://www.w3.org/2001/XMLSchema" xmlns:p="http://schemas.microsoft.com/office/2006/metadata/properties" xmlns:ns2="a35f5fd8-de2a-4aa6-8814-e0f03ce3799e" xmlns:ns3="52d87fb2-092f-4231-a5b5-d23faa776052" targetNamespace="http://schemas.microsoft.com/office/2006/metadata/properties" ma:root="true" ma:fieldsID="294dbf8f4657f2ef2406d60a2790adbd" ns2:_="" ns3:_="">
    <xsd:import namespace="a35f5fd8-de2a-4aa6-8814-e0f03ce3799e"/>
    <xsd:import namespace="52d87fb2-092f-4231-a5b5-d23faa776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f5fd8-de2a-4aa6-8814-e0f03ce37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87fb2-092f-4231-a5b5-d23faa776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5EDEB-59F1-416F-B83B-71C3D575B853}">
  <ds:schemaRefs>
    <ds:schemaRef ds:uri="a35f5fd8-de2a-4aa6-8814-e0f03ce379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d87fb2-092f-4231-a5b5-d23faa776052"/>
    <ds:schemaRef ds:uri="http://www.w3.org/XML/1998/namespace"/>
    <ds:schemaRef ds:uri="http://purl.org/dc/dcmitype/"/>
  </ds:schemaRefs>
</ds:datastoreItem>
</file>

<file path=customXml/itemProps2.xml><?xml version="1.0" encoding="utf-8"?>
<ds:datastoreItem xmlns:ds="http://schemas.openxmlformats.org/officeDocument/2006/customXml" ds:itemID="{B5CB0C54-2B5A-44BB-8309-94C2885F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f5fd8-de2a-4aa6-8814-e0f03ce3799e"/>
    <ds:schemaRef ds:uri="52d87fb2-092f-4231-a5b5-d23faa77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2C76D-A805-4952-AC66-5AD9E747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Dagger</dc:creator>
  <cp:keywords/>
  <dc:description/>
  <cp:lastModifiedBy>Alice Wards</cp:lastModifiedBy>
  <cp:revision>131</cp:revision>
  <dcterms:created xsi:type="dcterms:W3CDTF">2021-08-24T19:23:00Z</dcterms:created>
  <dcterms:modified xsi:type="dcterms:W3CDTF">2021-08-25T20:45:00Z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0x0101002BE0C77C83C6E3498D180242DDABBD3F</vt:lpwstr>
  </property>
</Properties>
</file>