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96D4" w14:textId="77777777" w:rsidR="00BC0C54" w:rsidRDefault="00BC0C54" w:rsidP="00F67967">
      <w:pPr>
        <w:pStyle w:val="TitleASM"/>
      </w:pPr>
    </w:p>
    <w:p w14:paraId="56551CC7" w14:textId="48B293E1" w:rsidR="005C77DB" w:rsidRPr="004B365D" w:rsidRDefault="008A4E4B" w:rsidP="006D4936">
      <w:pPr>
        <w:pStyle w:val="ASMHeading1"/>
        <w:rPr>
          <w:bCs/>
        </w:rPr>
      </w:pPr>
      <w:r w:rsidRPr="00BD011B">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0D9693AE" w14:textId="77777777" w:rsidTr="008A142C">
        <w:trPr>
          <w:trHeight w:val="425"/>
        </w:trPr>
        <w:tc>
          <w:tcPr>
            <w:tcW w:w="1985" w:type="dxa"/>
            <w:tcBorders>
              <w:right w:val="single" w:sz="4" w:space="0" w:color="auto"/>
            </w:tcBorders>
            <w:shd w:val="clear" w:color="auto" w:fill="F2F2F2" w:themeFill="background1" w:themeFillShade="F2"/>
            <w:vAlign w:val="center"/>
          </w:tcPr>
          <w:p w14:paraId="1A3DEF5D"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551479EE" w14:textId="4E2B64CF" w:rsidR="005C77DB" w:rsidRPr="00644755" w:rsidRDefault="008A4E4B" w:rsidP="000D22C4">
            <w:pPr>
              <w:rPr>
                <w:rFonts w:asciiTheme="minorHAnsi" w:hAnsiTheme="minorHAnsi"/>
              </w:rPr>
            </w:pPr>
            <w:r>
              <w:t>27844</w:t>
            </w:r>
          </w:p>
        </w:tc>
      </w:tr>
      <w:tr w:rsidR="005C77DB" w14:paraId="4847097A" w14:textId="77777777" w:rsidTr="008A142C">
        <w:trPr>
          <w:trHeight w:val="425"/>
        </w:trPr>
        <w:tc>
          <w:tcPr>
            <w:tcW w:w="1985" w:type="dxa"/>
            <w:shd w:val="clear" w:color="auto" w:fill="F2F2F2" w:themeFill="background1" w:themeFillShade="F2"/>
            <w:vAlign w:val="center"/>
          </w:tcPr>
          <w:p w14:paraId="64AC231F"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3ACC3CD8" w14:textId="2BF72713" w:rsidR="005C77DB" w:rsidRPr="00235FFE" w:rsidRDefault="008A4E4B" w:rsidP="000D22C4">
            <w:r w:rsidRPr="007B7AB0">
              <w:rPr>
                <w:szCs w:val="22"/>
              </w:rPr>
              <w:t>Describe litigation processes in New Zealand</w:t>
            </w:r>
          </w:p>
        </w:tc>
      </w:tr>
      <w:tr w:rsidR="00235FFE" w14:paraId="3F1DD4DC" w14:textId="77777777" w:rsidTr="008A142C">
        <w:trPr>
          <w:trHeight w:val="425"/>
        </w:trPr>
        <w:tc>
          <w:tcPr>
            <w:tcW w:w="1985" w:type="dxa"/>
            <w:shd w:val="clear" w:color="auto" w:fill="F2F2F2" w:themeFill="background1" w:themeFillShade="F2"/>
            <w:vAlign w:val="center"/>
          </w:tcPr>
          <w:p w14:paraId="68437372"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7EB0CC5A" w14:textId="0E13AAB2" w:rsidR="005C77DB" w:rsidRPr="00235FFE" w:rsidRDefault="008A4E4B" w:rsidP="000D22C4">
            <w:r>
              <w:t>1</w:t>
            </w:r>
          </w:p>
        </w:tc>
        <w:tc>
          <w:tcPr>
            <w:tcW w:w="1417" w:type="dxa"/>
            <w:shd w:val="clear" w:color="auto" w:fill="F2F2F2" w:themeFill="background1" w:themeFillShade="F2"/>
            <w:vAlign w:val="center"/>
          </w:tcPr>
          <w:p w14:paraId="5F9CA722"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17C4A8BB" w14:textId="3AC5F767" w:rsidR="005C77DB" w:rsidRPr="00235FFE" w:rsidRDefault="008A4E4B" w:rsidP="000D22C4">
            <w:r>
              <w:t>4</w:t>
            </w:r>
          </w:p>
        </w:tc>
        <w:tc>
          <w:tcPr>
            <w:tcW w:w="1417" w:type="dxa"/>
            <w:shd w:val="clear" w:color="auto" w:fill="F2F2F2" w:themeFill="background1" w:themeFillShade="F2"/>
            <w:vAlign w:val="center"/>
          </w:tcPr>
          <w:p w14:paraId="6E89DE8E"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3A2BD882" w14:textId="3C9B6E0C" w:rsidR="005C77DB" w:rsidRPr="00235FFE" w:rsidRDefault="008A4E4B" w:rsidP="000D22C4">
            <w:r>
              <w:t>3</w:t>
            </w:r>
          </w:p>
        </w:tc>
      </w:tr>
    </w:tbl>
    <w:p w14:paraId="767BC965"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8A4E4B">
        <w:rPr>
          <w:rStyle w:val="PageNumber"/>
          <w:noProof/>
          <w:lang w:val="en-GB"/>
        </w:rPr>
        <w:t>1</w:t>
      </w:r>
      <w:r w:rsidRPr="00EE39FF">
        <w:rPr>
          <w:rStyle w:val="PageNumber"/>
          <w:lang w:val="en-GB"/>
        </w:rPr>
        <w:fldChar w:fldCharType="end"/>
      </w:r>
    </w:p>
    <w:p w14:paraId="05EA20DB"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8A4E4B">
        <w:rPr>
          <w:rStyle w:val="PageNumber"/>
          <w:noProof/>
          <w:lang w:val="en-GB"/>
        </w:rPr>
        <w:t>1</w:t>
      </w:r>
      <w:r w:rsidRPr="00EE39FF">
        <w:rPr>
          <w:rStyle w:val="PageNumber"/>
          <w:lang w:val="en-GB"/>
        </w:rPr>
        <w:fldChar w:fldCharType="end"/>
      </w:r>
    </w:p>
    <w:p w14:paraId="01FB1A19" w14:textId="77777777" w:rsidR="0039206F" w:rsidRDefault="0039206F" w:rsidP="0039206F">
      <w:pPr>
        <w:pStyle w:val="TitleASM"/>
        <w:rPr>
          <w:sz w:val="36"/>
          <w:szCs w:val="36"/>
        </w:rPr>
      </w:pPr>
    </w:p>
    <w:p w14:paraId="1924EED3" w14:textId="77777777" w:rsidR="006E7482" w:rsidRPr="00177720" w:rsidRDefault="006E7482" w:rsidP="0039206F">
      <w:pPr>
        <w:pStyle w:val="TitleASM"/>
        <w:rPr>
          <w:rFonts w:eastAsiaTheme="majorEastAsia" w:cstheme="majorBidi"/>
          <w:b/>
          <w:sz w:val="32"/>
          <w:szCs w:val="32"/>
        </w:rPr>
      </w:pPr>
      <w:r w:rsidRPr="00177720">
        <w:rPr>
          <w:rFonts w:eastAsiaTheme="majorEastAsia" w:cstheme="majorBidi"/>
          <w:b/>
          <w:sz w:val="32"/>
          <w:szCs w:val="32"/>
        </w:rPr>
        <w:t>Ākonga/Learner Guidelines</w:t>
      </w:r>
    </w:p>
    <w:p w14:paraId="38EAE1E8" w14:textId="77777777" w:rsidR="003F73CB" w:rsidRPr="00EA116A" w:rsidRDefault="009F2A31" w:rsidP="001B34B5">
      <w:pPr>
        <w:pStyle w:val="ASMHeading2"/>
      </w:pPr>
      <w:r w:rsidRPr="00EA116A">
        <w:t>Introduction</w:t>
      </w:r>
    </w:p>
    <w:p w14:paraId="5D6E08B3" w14:textId="77777777" w:rsidR="008A4E4B" w:rsidRPr="007B7AB0" w:rsidRDefault="008A4E4B" w:rsidP="008A4E4B">
      <w:r w:rsidRPr="007B7AB0">
        <w:t>You will be assessed on your ability to describe litigation processes in the New Zealand court and tribunal system by completing the four tasks detailed below. This will include:</w:t>
      </w:r>
    </w:p>
    <w:p w14:paraId="6150AA38" w14:textId="3FB9F020" w:rsidR="008A4E4B" w:rsidRPr="007B7AB0" w:rsidRDefault="008A4E4B" w:rsidP="008A4E4B">
      <w:pPr>
        <w:pStyle w:val="Bullet"/>
      </w:pPr>
      <w:r w:rsidRPr="007B7AB0">
        <w:t>New Zealand’s Courts and tribunals and their hierarchy and inter-relationship</w:t>
      </w:r>
      <w:r w:rsidR="000816D8">
        <w:t>;</w:t>
      </w:r>
    </w:p>
    <w:p w14:paraId="6E9F1576" w14:textId="5B3DDA2F" w:rsidR="008A4E4B" w:rsidRPr="007B7AB0" w:rsidRDefault="008A4E4B" w:rsidP="008A4E4B">
      <w:pPr>
        <w:pStyle w:val="Bullet"/>
      </w:pPr>
      <w:r w:rsidRPr="007B7AB0">
        <w:t>the key features of the roles of two key participants in the main courts</w:t>
      </w:r>
      <w:r w:rsidR="000816D8">
        <w:t>;</w:t>
      </w:r>
    </w:p>
    <w:p w14:paraId="68073804" w14:textId="42041BB3" w:rsidR="008A4E4B" w:rsidRPr="007B7AB0" w:rsidRDefault="008A4E4B" w:rsidP="008A4E4B">
      <w:pPr>
        <w:pStyle w:val="Bullet"/>
      </w:pPr>
      <w:r w:rsidRPr="007B7AB0">
        <w:t>civil and criminal law in terms of subject matter, burden of proof, standard of proof</w:t>
      </w:r>
      <w:r w:rsidR="000816D8">
        <w:t>,</w:t>
      </w:r>
      <w:r w:rsidRPr="007B7AB0">
        <w:t xml:space="preserve"> possible outcomes</w:t>
      </w:r>
      <w:r w:rsidR="000816D8">
        <w:t>;</w:t>
      </w:r>
    </w:p>
    <w:p w14:paraId="77FCDDDF" w14:textId="32A77619" w:rsidR="008A4E4B" w:rsidRPr="007B7AB0" w:rsidRDefault="008A4E4B" w:rsidP="008A4E4B">
      <w:pPr>
        <w:pStyle w:val="Bullet"/>
      </w:pPr>
      <w:r w:rsidRPr="007B7AB0">
        <w:t>selecting and applying relevant supporting detail</w:t>
      </w:r>
      <w:r w:rsidR="000816D8">
        <w:t>;</w:t>
      </w:r>
    </w:p>
    <w:p w14:paraId="3AD8ADD9" w14:textId="1A45F988" w:rsidR="008A4E4B" w:rsidRPr="007B7AB0" w:rsidRDefault="008A4E4B" w:rsidP="008A4E4B">
      <w:pPr>
        <w:pStyle w:val="Bullet"/>
      </w:pPr>
      <w:r>
        <w:t>comparing civil and criminal processes</w:t>
      </w:r>
      <w:r w:rsidR="000816D8">
        <w:t>,</w:t>
      </w:r>
      <w:r>
        <w:t xml:space="preserve"> referring to actual cases</w:t>
      </w:r>
      <w:r w:rsidR="000816D8">
        <w:t>,</w:t>
      </w:r>
      <w:r>
        <w:t xml:space="preserve"> selecting a range of relevant supporting detail and drawing clear conclusions.</w:t>
      </w:r>
    </w:p>
    <w:p w14:paraId="039BCE79"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508EFE27" w14:textId="77777777" w:rsidR="008A4E4B" w:rsidRPr="00540591" w:rsidRDefault="008A4E4B" w:rsidP="008A4E4B">
      <w:pPr>
        <w:pStyle w:val="Bullet"/>
        <w:rPr>
          <w:szCs w:val="22"/>
        </w:rPr>
      </w:pPr>
      <w:r w:rsidRPr="00540591">
        <w:rPr>
          <w:szCs w:val="22"/>
        </w:rPr>
        <w:t xml:space="preserve">For award with </w:t>
      </w:r>
      <w:r w:rsidRPr="00540591">
        <w:rPr>
          <w:b/>
          <w:i/>
          <w:szCs w:val="22"/>
        </w:rPr>
        <w:t>Achieved</w:t>
      </w:r>
      <w:r w:rsidRPr="00540591">
        <w:rPr>
          <w:szCs w:val="22"/>
        </w:rPr>
        <w:t>, litigation processes are identified in relation to criminal and civil cases in the New</w:t>
      </w:r>
      <w:r w:rsidRPr="00540591">
        <w:rPr>
          <w:spacing w:val="-38"/>
          <w:szCs w:val="22"/>
        </w:rPr>
        <w:t xml:space="preserve"> </w:t>
      </w:r>
      <w:r w:rsidRPr="00540591">
        <w:rPr>
          <w:szCs w:val="22"/>
        </w:rPr>
        <w:t>Zealand court and tribunal</w:t>
      </w:r>
      <w:r w:rsidRPr="00540591">
        <w:rPr>
          <w:spacing w:val="-4"/>
          <w:szCs w:val="22"/>
        </w:rPr>
        <w:t xml:space="preserve"> </w:t>
      </w:r>
      <w:r w:rsidRPr="00540591">
        <w:rPr>
          <w:szCs w:val="22"/>
        </w:rPr>
        <w:t>system.</w:t>
      </w:r>
    </w:p>
    <w:p w14:paraId="18B8FE74" w14:textId="77777777" w:rsidR="008A4E4B" w:rsidRPr="00540591" w:rsidRDefault="008A4E4B" w:rsidP="008A4E4B">
      <w:pPr>
        <w:pStyle w:val="Bullet"/>
        <w:rPr>
          <w:szCs w:val="22"/>
        </w:rPr>
      </w:pPr>
      <w:r w:rsidRPr="00540591">
        <w:rPr>
          <w:szCs w:val="22"/>
        </w:rPr>
        <w:t xml:space="preserve">For award with </w:t>
      </w:r>
      <w:r w:rsidRPr="00540591">
        <w:rPr>
          <w:b/>
          <w:i/>
          <w:szCs w:val="22"/>
        </w:rPr>
        <w:t>Merit</w:t>
      </w:r>
      <w:r w:rsidRPr="00540591">
        <w:rPr>
          <w:szCs w:val="22"/>
        </w:rPr>
        <w:t>, the description of litigation processes is demonstrated by selecting and applying relevant supporting detail</w:t>
      </w:r>
      <w:r w:rsidRPr="00540591">
        <w:rPr>
          <w:spacing w:val="2"/>
          <w:szCs w:val="22"/>
        </w:rPr>
        <w:t xml:space="preserve"> </w:t>
      </w:r>
      <w:r w:rsidRPr="00540591">
        <w:rPr>
          <w:szCs w:val="22"/>
        </w:rPr>
        <w:t>that may include but is not limited to any one of:</w:t>
      </w:r>
    </w:p>
    <w:p w14:paraId="0C066B48" w14:textId="77777777" w:rsidR="008A4E4B" w:rsidRPr="00540591" w:rsidRDefault="008A4E4B" w:rsidP="008A4E4B">
      <w:pPr>
        <w:pStyle w:val="Bullet"/>
        <w:numPr>
          <w:ilvl w:val="0"/>
          <w:numId w:val="11"/>
        </w:numPr>
        <w:rPr>
          <w:szCs w:val="22"/>
        </w:rPr>
      </w:pPr>
      <w:r w:rsidRPr="00540591">
        <w:rPr>
          <w:szCs w:val="22"/>
        </w:rPr>
        <w:t>particular facts and legislation</w:t>
      </w:r>
    </w:p>
    <w:p w14:paraId="6D4E530A" w14:textId="77777777" w:rsidR="008A4E4B" w:rsidRPr="00540591" w:rsidRDefault="008A4E4B" w:rsidP="008A4E4B">
      <w:pPr>
        <w:pStyle w:val="Bullet"/>
        <w:numPr>
          <w:ilvl w:val="0"/>
          <w:numId w:val="11"/>
        </w:numPr>
        <w:rPr>
          <w:szCs w:val="22"/>
        </w:rPr>
      </w:pPr>
      <w:r w:rsidRPr="00540591">
        <w:rPr>
          <w:szCs w:val="22"/>
        </w:rPr>
        <w:t>past or present events from New Zealand and overseas</w:t>
      </w:r>
    </w:p>
    <w:p w14:paraId="70D49513" w14:textId="77777777" w:rsidR="008A4E4B" w:rsidRPr="00540591" w:rsidRDefault="008A4E4B" w:rsidP="008A4E4B">
      <w:pPr>
        <w:pStyle w:val="Bullet"/>
        <w:numPr>
          <w:ilvl w:val="0"/>
          <w:numId w:val="11"/>
        </w:numPr>
        <w:rPr>
          <w:szCs w:val="22"/>
        </w:rPr>
      </w:pPr>
      <w:r w:rsidRPr="00540591">
        <w:rPr>
          <w:szCs w:val="22"/>
        </w:rPr>
        <w:t>case law</w:t>
      </w:r>
    </w:p>
    <w:p w14:paraId="2667F037" w14:textId="77777777" w:rsidR="008A4E4B" w:rsidRPr="00540591" w:rsidRDefault="008A4E4B" w:rsidP="008A4E4B">
      <w:pPr>
        <w:pStyle w:val="Bullet"/>
        <w:numPr>
          <w:ilvl w:val="0"/>
          <w:numId w:val="11"/>
        </w:numPr>
        <w:rPr>
          <w:szCs w:val="22"/>
        </w:rPr>
      </w:pPr>
      <w:r w:rsidRPr="00540591">
        <w:rPr>
          <w:szCs w:val="22"/>
        </w:rPr>
        <w:t>news media reports.</w:t>
      </w:r>
    </w:p>
    <w:p w14:paraId="7C77409F" w14:textId="77777777" w:rsidR="008A4E4B" w:rsidRPr="00540591" w:rsidRDefault="008A4E4B" w:rsidP="008A4E4B">
      <w:pPr>
        <w:pStyle w:val="Bullet"/>
        <w:keepNext/>
        <w:keepLines/>
        <w:ind w:hanging="357"/>
        <w:rPr>
          <w:szCs w:val="22"/>
        </w:rPr>
      </w:pPr>
      <w:r w:rsidRPr="00540591">
        <w:rPr>
          <w:szCs w:val="22"/>
        </w:rPr>
        <w:lastRenderedPageBreak/>
        <w:t xml:space="preserve">For award with </w:t>
      </w:r>
      <w:r w:rsidRPr="00540591">
        <w:rPr>
          <w:b/>
          <w:i/>
          <w:szCs w:val="22"/>
        </w:rPr>
        <w:t>Excellence</w:t>
      </w:r>
      <w:r w:rsidRPr="00540591">
        <w:rPr>
          <w:szCs w:val="22"/>
        </w:rPr>
        <w:t>, the description of the litigation processes in New Zealand is demonstrated by:</w:t>
      </w:r>
    </w:p>
    <w:p w14:paraId="05F72161" w14:textId="77777777" w:rsidR="008A4E4B" w:rsidRPr="00540591" w:rsidRDefault="008A4E4B" w:rsidP="008A4E4B">
      <w:pPr>
        <w:pStyle w:val="Bullet"/>
        <w:keepNext/>
        <w:keepLines/>
        <w:numPr>
          <w:ilvl w:val="0"/>
          <w:numId w:val="11"/>
        </w:numPr>
        <w:ind w:hanging="357"/>
        <w:rPr>
          <w:szCs w:val="22"/>
        </w:rPr>
      </w:pPr>
      <w:r w:rsidRPr="00540591">
        <w:rPr>
          <w:szCs w:val="22"/>
        </w:rPr>
        <w:t>comparing civil and criminal processes</w:t>
      </w:r>
    </w:p>
    <w:p w14:paraId="74C84566" w14:textId="77777777" w:rsidR="008A4E4B" w:rsidRPr="00540591" w:rsidRDefault="008A4E4B" w:rsidP="008A4E4B">
      <w:pPr>
        <w:pStyle w:val="Bullet"/>
        <w:numPr>
          <w:ilvl w:val="0"/>
          <w:numId w:val="11"/>
        </w:numPr>
        <w:rPr>
          <w:szCs w:val="22"/>
        </w:rPr>
      </w:pPr>
      <w:r w:rsidRPr="00540591">
        <w:rPr>
          <w:szCs w:val="22"/>
        </w:rPr>
        <w:t>referring to actual cases</w:t>
      </w:r>
    </w:p>
    <w:p w14:paraId="421B5EFA" w14:textId="77777777" w:rsidR="008A4E4B" w:rsidRPr="00540591" w:rsidRDefault="008A4E4B" w:rsidP="008A4E4B">
      <w:pPr>
        <w:pStyle w:val="Bullet"/>
        <w:numPr>
          <w:ilvl w:val="0"/>
          <w:numId w:val="11"/>
        </w:numPr>
        <w:rPr>
          <w:szCs w:val="22"/>
        </w:rPr>
      </w:pPr>
      <w:r w:rsidRPr="00540591">
        <w:rPr>
          <w:szCs w:val="22"/>
        </w:rPr>
        <w:t>selecting a range of relevant supporting detail</w:t>
      </w:r>
    </w:p>
    <w:p w14:paraId="2F177FA7" w14:textId="77777777" w:rsidR="008A4E4B" w:rsidRPr="00540591" w:rsidRDefault="008A4E4B" w:rsidP="008A4E4B">
      <w:pPr>
        <w:pStyle w:val="Bullet"/>
        <w:numPr>
          <w:ilvl w:val="0"/>
          <w:numId w:val="11"/>
        </w:numPr>
        <w:rPr>
          <w:szCs w:val="22"/>
        </w:rPr>
      </w:pPr>
      <w:r w:rsidRPr="00540591">
        <w:rPr>
          <w:szCs w:val="22"/>
        </w:rPr>
        <w:t>drawing clear conclusions.</w:t>
      </w:r>
    </w:p>
    <w:p w14:paraId="17CC8DD3"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Conditions of Assessment</w:t>
      </w:r>
    </w:p>
    <w:p w14:paraId="71D26E2F" w14:textId="77777777" w:rsidR="008A4E4B" w:rsidRPr="00540591" w:rsidRDefault="008A4E4B" w:rsidP="008A4E4B">
      <w:pPr>
        <w:rPr>
          <w:rFonts w:cs="Arial"/>
          <w:szCs w:val="22"/>
        </w:rPr>
      </w:pPr>
      <w:r w:rsidRPr="00540591">
        <w:rPr>
          <w:rFonts w:cs="Arial"/>
          <w:szCs w:val="22"/>
        </w:rPr>
        <w:t>Assessors will set the conditions of assessment as appropriate.</w:t>
      </w:r>
    </w:p>
    <w:p w14:paraId="7904D4E0"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22B6CC89" w14:textId="77777777" w:rsidR="008A4E4B" w:rsidRPr="00540591" w:rsidRDefault="008A4E4B" w:rsidP="008A4E4B">
      <w:pPr>
        <w:rPr>
          <w:rFonts w:cs="Arial"/>
          <w:szCs w:val="22"/>
        </w:rPr>
      </w:pPr>
      <w:r w:rsidRPr="00540591">
        <w:rPr>
          <w:rFonts w:cs="Arial"/>
          <w:szCs w:val="22"/>
        </w:rPr>
        <w:t>This assessment activity has four tasks.</w:t>
      </w:r>
    </w:p>
    <w:p w14:paraId="59D17956" w14:textId="77777777" w:rsidR="008A4E4B" w:rsidRPr="00540591" w:rsidRDefault="008A4E4B" w:rsidP="008A4E4B">
      <w:pPr>
        <w:ind w:right="29"/>
        <w:rPr>
          <w:rFonts w:cs="Arial"/>
          <w:b/>
          <w:szCs w:val="22"/>
        </w:rPr>
      </w:pPr>
      <w:r w:rsidRPr="00540591">
        <w:rPr>
          <w:rFonts w:cs="Arial"/>
          <w:b/>
          <w:szCs w:val="22"/>
        </w:rPr>
        <w:t>Introduction</w:t>
      </w:r>
    </w:p>
    <w:p w14:paraId="5428C2B7" w14:textId="77777777" w:rsidR="008A4E4B" w:rsidRPr="00540591" w:rsidRDefault="008A4E4B" w:rsidP="008A4E4B">
      <w:pPr>
        <w:ind w:right="29"/>
        <w:rPr>
          <w:rFonts w:cs="Arial"/>
          <w:szCs w:val="22"/>
        </w:rPr>
      </w:pPr>
      <w:r w:rsidRPr="00540591">
        <w:rPr>
          <w:rFonts w:cs="Arial"/>
          <w:szCs w:val="22"/>
        </w:rPr>
        <w:t>Your friend Tim has heard that you’ve been studying New Zealand’s court system. He’s curious to find out more and so he’s put together some questions for you.</w:t>
      </w:r>
    </w:p>
    <w:p w14:paraId="3AC2C497" w14:textId="77777777" w:rsidR="008A4E4B" w:rsidRPr="00540591" w:rsidRDefault="008A4E4B" w:rsidP="008A4E4B">
      <w:pPr>
        <w:ind w:right="29"/>
        <w:rPr>
          <w:rFonts w:cs="Arial"/>
          <w:szCs w:val="22"/>
        </w:rPr>
      </w:pPr>
      <w:r w:rsidRPr="00540591">
        <w:rPr>
          <w:rFonts w:cs="Arial"/>
          <w:b/>
          <w:szCs w:val="22"/>
        </w:rPr>
        <w:t>Task One</w:t>
      </w:r>
    </w:p>
    <w:p w14:paraId="5CFCB416" w14:textId="77777777" w:rsidR="008A4E4B" w:rsidRPr="00540591" w:rsidRDefault="008A4E4B" w:rsidP="008A4E4B">
      <w:pPr>
        <w:ind w:right="29"/>
        <w:rPr>
          <w:rFonts w:cs="Arial"/>
          <w:szCs w:val="22"/>
        </w:rPr>
      </w:pPr>
      <w:r w:rsidRPr="00540591">
        <w:rPr>
          <w:rFonts w:cs="Arial"/>
          <w:szCs w:val="22"/>
        </w:rPr>
        <w:t>For this task, you must complete activities a and b:</w:t>
      </w:r>
    </w:p>
    <w:p w14:paraId="6595AB06" w14:textId="77777777" w:rsidR="008A4E4B" w:rsidRPr="00540591" w:rsidRDefault="008A4E4B" w:rsidP="008A4E4B">
      <w:pPr>
        <w:numPr>
          <w:ilvl w:val="0"/>
          <w:numId w:val="13"/>
        </w:numPr>
        <w:tabs>
          <w:tab w:val="left" w:pos="357"/>
        </w:tabs>
        <w:ind w:left="357" w:hanging="357"/>
        <w:rPr>
          <w:rFonts w:cs="Arial"/>
          <w:szCs w:val="22"/>
          <w:lang w:val="en-AU"/>
        </w:rPr>
      </w:pPr>
      <w:r w:rsidRPr="00540591">
        <w:rPr>
          <w:rFonts w:cs="Arial"/>
          <w:szCs w:val="22"/>
          <w:lang w:val="en-AU"/>
        </w:rPr>
        <w:t xml:space="preserve">To make sure Tim gets a detailed understanding of New Zealand’s courts and tribunals, help him to identify the jurisdiction of </w:t>
      </w:r>
      <w:r w:rsidRPr="00540591">
        <w:rPr>
          <w:rFonts w:cs="Arial"/>
          <w:b/>
          <w:szCs w:val="22"/>
          <w:lang w:val="en-AU"/>
        </w:rPr>
        <w:t>five</w:t>
      </w:r>
      <w:r w:rsidRPr="00540591">
        <w:rPr>
          <w:rFonts w:cs="Arial"/>
          <w:szCs w:val="22"/>
          <w:lang w:val="en-AU"/>
        </w:rPr>
        <w:t xml:space="preserve"> courts and </w:t>
      </w:r>
      <w:r w:rsidRPr="00540591">
        <w:rPr>
          <w:rFonts w:cs="Arial"/>
          <w:b/>
          <w:szCs w:val="22"/>
          <w:lang w:val="en-AU"/>
        </w:rPr>
        <w:t xml:space="preserve">one </w:t>
      </w:r>
      <w:r w:rsidRPr="00540591">
        <w:rPr>
          <w:rFonts w:cs="Arial"/>
          <w:szCs w:val="22"/>
          <w:lang w:val="en-AU"/>
        </w:rPr>
        <w:t xml:space="preserve">tribunal listed below. </w:t>
      </w:r>
    </w:p>
    <w:p w14:paraId="39CEE8C3" w14:textId="4752D02B"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District Court</w:t>
      </w:r>
    </w:p>
    <w:p w14:paraId="51C443AD" w14:textId="4F08D1F2"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High Court</w:t>
      </w:r>
    </w:p>
    <w:p w14:paraId="71651E95" w14:textId="206AFFF7"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Court of Appeal</w:t>
      </w:r>
    </w:p>
    <w:p w14:paraId="4F53390F" w14:textId="77777777"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Supreme Court of New Zealand.</w:t>
      </w:r>
    </w:p>
    <w:p w14:paraId="46C0C2E6" w14:textId="77777777" w:rsidR="008A4E4B" w:rsidRPr="00540591" w:rsidRDefault="008A4E4B" w:rsidP="008A4E4B">
      <w:pPr>
        <w:ind w:left="714" w:hanging="357"/>
        <w:rPr>
          <w:rFonts w:cs="Arial"/>
          <w:bCs/>
          <w:szCs w:val="22"/>
        </w:rPr>
      </w:pPr>
      <w:r w:rsidRPr="00540591">
        <w:rPr>
          <w:rFonts w:cs="Arial"/>
          <w:bCs/>
          <w:szCs w:val="22"/>
        </w:rPr>
        <w:t xml:space="preserve">Plus </w:t>
      </w:r>
      <w:r w:rsidRPr="00540591">
        <w:rPr>
          <w:rFonts w:cs="Arial"/>
          <w:bCs/>
          <w:szCs w:val="22"/>
          <w:u w:val="single"/>
        </w:rPr>
        <w:t>one</w:t>
      </w:r>
      <w:r w:rsidRPr="00540591">
        <w:rPr>
          <w:rFonts w:cs="Arial"/>
          <w:bCs/>
          <w:szCs w:val="22"/>
        </w:rPr>
        <w:t xml:space="preserve"> of:</w:t>
      </w:r>
    </w:p>
    <w:p w14:paraId="6C01D236" w14:textId="43EA7268"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Youth Court</w:t>
      </w:r>
    </w:p>
    <w:p w14:paraId="1CEA4799" w14:textId="1433EB28"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Family Court</w:t>
      </w:r>
    </w:p>
    <w:p w14:paraId="62C9744C" w14:textId="77777777"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Employment Court.</w:t>
      </w:r>
    </w:p>
    <w:p w14:paraId="657F7EE5" w14:textId="77777777" w:rsidR="008A4E4B" w:rsidRPr="00540591" w:rsidRDefault="008A4E4B" w:rsidP="008A4E4B">
      <w:pPr>
        <w:ind w:left="714" w:hanging="357"/>
        <w:rPr>
          <w:rFonts w:cs="Arial"/>
          <w:bCs/>
          <w:szCs w:val="22"/>
        </w:rPr>
      </w:pPr>
      <w:r w:rsidRPr="00540591">
        <w:rPr>
          <w:rFonts w:cs="Arial"/>
          <w:bCs/>
          <w:szCs w:val="22"/>
        </w:rPr>
        <w:t xml:space="preserve">Plus </w:t>
      </w:r>
      <w:r w:rsidRPr="00540591">
        <w:rPr>
          <w:rFonts w:cs="Arial"/>
          <w:bCs/>
          <w:szCs w:val="22"/>
          <w:u w:val="single"/>
        </w:rPr>
        <w:t>one</w:t>
      </w:r>
      <w:r w:rsidRPr="00540591">
        <w:rPr>
          <w:rFonts w:cs="Arial"/>
          <w:bCs/>
          <w:szCs w:val="22"/>
        </w:rPr>
        <w:t xml:space="preserve"> tribunal from:</w:t>
      </w:r>
    </w:p>
    <w:p w14:paraId="6733F79F" w14:textId="26D11C2C"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Waitangi Tribunal</w:t>
      </w:r>
    </w:p>
    <w:p w14:paraId="4FAF8632" w14:textId="3F329821"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Tenancy Tribunal</w:t>
      </w:r>
    </w:p>
    <w:p w14:paraId="1BBC1A89" w14:textId="13030328" w:rsidR="008A4E4B" w:rsidRPr="00540591" w:rsidRDefault="008A4E4B" w:rsidP="008A4E4B">
      <w:pPr>
        <w:numPr>
          <w:ilvl w:val="0"/>
          <w:numId w:val="12"/>
        </w:numPr>
        <w:tabs>
          <w:tab w:val="clear" w:pos="1080"/>
        </w:tabs>
        <w:ind w:left="714" w:hanging="357"/>
        <w:rPr>
          <w:rFonts w:cs="Arial"/>
          <w:bCs/>
          <w:szCs w:val="22"/>
        </w:rPr>
      </w:pPr>
      <w:r w:rsidRPr="00540591">
        <w:rPr>
          <w:rFonts w:cs="Arial"/>
          <w:bCs/>
          <w:szCs w:val="22"/>
        </w:rPr>
        <w:t>Disputes Tribunal</w:t>
      </w:r>
    </w:p>
    <w:p w14:paraId="1A52C29A" w14:textId="1BB85950" w:rsidR="008A4E4B" w:rsidRPr="00540591" w:rsidRDefault="008A4E4B" w:rsidP="008A4E4B">
      <w:pPr>
        <w:numPr>
          <w:ilvl w:val="0"/>
          <w:numId w:val="12"/>
        </w:numPr>
        <w:tabs>
          <w:tab w:val="clear" w:pos="1080"/>
        </w:tabs>
        <w:ind w:left="714" w:hanging="357"/>
        <w:rPr>
          <w:szCs w:val="22"/>
        </w:rPr>
      </w:pPr>
      <w:r w:rsidRPr="00540591">
        <w:rPr>
          <w:rFonts w:cs="Arial"/>
          <w:bCs/>
          <w:szCs w:val="22"/>
        </w:rPr>
        <w:t>Human</w:t>
      </w:r>
      <w:r w:rsidRPr="00540591">
        <w:rPr>
          <w:rFonts w:cs="Arial"/>
          <w:szCs w:val="22"/>
        </w:rPr>
        <w:t xml:space="preserve"> Rights Review Tribunal</w:t>
      </w:r>
      <w:r w:rsidR="00670A9E">
        <w:rPr>
          <w:rFonts w:cs="Arial"/>
          <w:szCs w:val="22"/>
        </w:rPr>
        <w:t>.</w:t>
      </w:r>
    </w:p>
    <w:p w14:paraId="740056B3" w14:textId="77777777" w:rsidR="008A4E4B" w:rsidRPr="00540591" w:rsidRDefault="008A4E4B" w:rsidP="008A4E4B">
      <w:pPr>
        <w:numPr>
          <w:ilvl w:val="0"/>
          <w:numId w:val="13"/>
        </w:numPr>
        <w:tabs>
          <w:tab w:val="left" w:pos="357"/>
        </w:tabs>
        <w:ind w:left="357" w:hanging="357"/>
        <w:rPr>
          <w:szCs w:val="22"/>
        </w:rPr>
      </w:pPr>
      <w:r w:rsidRPr="00540591">
        <w:rPr>
          <w:rFonts w:cs="Arial"/>
          <w:szCs w:val="22"/>
          <w:lang w:val="en-AU"/>
        </w:rPr>
        <w:t>Tim</w:t>
      </w:r>
      <w:r w:rsidRPr="00540591">
        <w:rPr>
          <w:rFonts w:cs="Arial"/>
          <w:bCs/>
          <w:szCs w:val="22"/>
        </w:rPr>
        <w:t xml:space="preserve"> tells you that he knows we have quite a few different courts in New Zealand but he’s not sure what they all are and how they are organised. Draw a diagram for Tim which </w:t>
      </w:r>
      <w:r w:rsidRPr="00540591">
        <w:rPr>
          <w:rFonts w:cs="Arial"/>
          <w:szCs w:val="22"/>
          <w:lang w:val="en-AU"/>
        </w:rPr>
        <w:t>shows</w:t>
      </w:r>
      <w:r w:rsidRPr="00540591">
        <w:rPr>
          <w:rFonts w:cs="Arial"/>
          <w:bCs/>
          <w:szCs w:val="22"/>
        </w:rPr>
        <w:t xml:space="preserve"> the hierarchy of the New Zealand Courts from the least powerful through to the most powerful. </w:t>
      </w:r>
      <w:r w:rsidRPr="00540591">
        <w:rPr>
          <w:rFonts w:cs="Arial"/>
          <w:bCs/>
          <w:szCs w:val="22"/>
          <w:lang w:val="en-AU"/>
        </w:rPr>
        <w:t xml:space="preserve">Using this diagram, describe how the courts relate to each other and </w:t>
      </w:r>
      <w:r w:rsidRPr="00540591">
        <w:rPr>
          <w:rFonts w:cs="Arial"/>
          <w:szCs w:val="22"/>
          <w:lang w:val="en-AU"/>
        </w:rPr>
        <w:t xml:space="preserve">include an </w:t>
      </w:r>
      <w:r w:rsidRPr="003D6826">
        <w:rPr>
          <w:rFonts w:cs="Arial"/>
          <w:b/>
          <w:bCs/>
          <w:szCs w:val="22"/>
          <w:lang w:val="en-AU"/>
        </w:rPr>
        <w:t>example</w:t>
      </w:r>
      <w:r w:rsidRPr="00540591">
        <w:rPr>
          <w:rFonts w:cs="Arial"/>
          <w:szCs w:val="22"/>
          <w:lang w:val="en-AU"/>
        </w:rPr>
        <w:t xml:space="preserve"> of a</w:t>
      </w:r>
      <w:r w:rsidRPr="00540591">
        <w:rPr>
          <w:rFonts w:cs="Arial"/>
          <w:bCs/>
          <w:szCs w:val="22"/>
          <w:lang w:val="en-AU"/>
        </w:rPr>
        <w:t xml:space="preserve"> case dealt with in each court.</w:t>
      </w:r>
    </w:p>
    <w:p w14:paraId="4C0AF92D" w14:textId="77777777" w:rsidR="008A4E4B" w:rsidRPr="00540591" w:rsidRDefault="008A4E4B" w:rsidP="008A4E4B">
      <w:pPr>
        <w:keepNext/>
        <w:keepLines/>
        <w:tabs>
          <w:tab w:val="left" w:pos="357"/>
        </w:tabs>
        <w:rPr>
          <w:b/>
          <w:szCs w:val="22"/>
        </w:rPr>
      </w:pPr>
      <w:r w:rsidRPr="00540591">
        <w:rPr>
          <w:b/>
          <w:szCs w:val="22"/>
        </w:rPr>
        <w:lastRenderedPageBreak/>
        <w:t>Task Two</w:t>
      </w:r>
    </w:p>
    <w:p w14:paraId="5C061FC4" w14:textId="77777777" w:rsidR="008A4E4B" w:rsidRPr="00540591" w:rsidRDefault="008A4E4B" w:rsidP="008A4E4B">
      <w:pPr>
        <w:pStyle w:val="BodyText"/>
        <w:ind w:right="29"/>
        <w:rPr>
          <w:rFonts w:ascii="Inter" w:hAnsi="Inter"/>
          <w:bCs/>
          <w:lang w:val="en-AU"/>
        </w:rPr>
      </w:pPr>
      <w:r w:rsidRPr="00540591">
        <w:rPr>
          <w:rFonts w:ascii="Inter" w:hAnsi="Inter"/>
        </w:rPr>
        <w:t xml:space="preserve">Tim knows from watching court room drama that there always seems to be a lot of people involved in the courts. Help Tim to develop his understanding of the participants below in the main courts by explaining the roles of at least two of the following: </w:t>
      </w:r>
    </w:p>
    <w:p w14:paraId="71FD9C09" w14:textId="77777777" w:rsidR="008A4E4B" w:rsidRPr="00540591" w:rsidRDefault="008A4E4B" w:rsidP="008A4E4B">
      <w:pPr>
        <w:pStyle w:val="BodyText"/>
        <w:widowControl/>
        <w:numPr>
          <w:ilvl w:val="0"/>
          <w:numId w:val="16"/>
        </w:numPr>
        <w:tabs>
          <w:tab w:val="clear" w:pos="720"/>
        </w:tabs>
        <w:autoSpaceDE/>
        <w:autoSpaceDN/>
        <w:ind w:left="357" w:hanging="357"/>
        <w:rPr>
          <w:rFonts w:ascii="Inter" w:hAnsi="Inter"/>
          <w:bCs/>
        </w:rPr>
      </w:pPr>
      <w:r w:rsidRPr="00540591">
        <w:rPr>
          <w:rFonts w:ascii="Inter" w:hAnsi="Inter"/>
          <w:bCs/>
        </w:rPr>
        <w:t>Judge</w:t>
      </w:r>
    </w:p>
    <w:p w14:paraId="2957EC73" w14:textId="77777777" w:rsidR="008A4E4B" w:rsidRPr="00540591" w:rsidRDefault="008A4E4B" w:rsidP="008A4E4B">
      <w:pPr>
        <w:pStyle w:val="BodyText"/>
        <w:widowControl/>
        <w:numPr>
          <w:ilvl w:val="0"/>
          <w:numId w:val="16"/>
        </w:numPr>
        <w:tabs>
          <w:tab w:val="clear" w:pos="720"/>
        </w:tabs>
        <w:autoSpaceDE/>
        <w:autoSpaceDN/>
        <w:ind w:left="357" w:hanging="357"/>
        <w:rPr>
          <w:rFonts w:ascii="Inter" w:hAnsi="Inter"/>
          <w:bCs/>
        </w:rPr>
      </w:pPr>
      <w:r w:rsidRPr="00540591">
        <w:rPr>
          <w:rFonts w:ascii="Inter" w:hAnsi="Inter"/>
          <w:bCs/>
        </w:rPr>
        <w:t>Juror</w:t>
      </w:r>
    </w:p>
    <w:p w14:paraId="2D16AFE6"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Lawyer</w:t>
      </w:r>
    </w:p>
    <w:p w14:paraId="5A66E644"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Witness</w:t>
      </w:r>
    </w:p>
    <w:p w14:paraId="389CA522"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Registrar / Court taker*</w:t>
      </w:r>
    </w:p>
    <w:p w14:paraId="6C77C870"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Prosecutor</w:t>
      </w:r>
    </w:p>
    <w:p w14:paraId="4A516EA4"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Plaintiff</w:t>
      </w:r>
    </w:p>
    <w:p w14:paraId="310E7075"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Defendant</w:t>
      </w:r>
    </w:p>
    <w:p w14:paraId="11FCFB0B"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Police</w:t>
      </w:r>
    </w:p>
    <w:p w14:paraId="313793DD" w14:textId="77777777" w:rsidR="008A4E4B" w:rsidRPr="00540591" w:rsidRDefault="008A4E4B" w:rsidP="008A4E4B">
      <w:pPr>
        <w:pStyle w:val="BodyText"/>
        <w:widowControl/>
        <w:numPr>
          <w:ilvl w:val="0"/>
          <w:numId w:val="15"/>
        </w:numPr>
        <w:tabs>
          <w:tab w:val="clear" w:pos="720"/>
        </w:tabs>
        <w:autoSpaceDE/>
        <w:autoSpaceDN/>
        <w:ind w:left="357" w:hanging="357"/>
        <w:rPr>
          <w:rFonts w:ascii="Inter" w:hAnsi="Inter"/>
          <w:bCs/>
        </w:rPr>
      </w:pPr>
      <w:r w:rsidRPr="00540591">
        <w:rPr>
          <w:rFonts w:ascii="Inter" w:hAnsi="Inter"/>
          <w:bCs/>
        </w:rPr>
        <w:t>Probation Officer.</w:t>
      </w:r>
    </w:p>
    <w:p w14:paraId="3C3047F9" w14:textId="77777777" w:rsidR="008A4E4B" w:rsidRPr="00540591" w:rsidRDefault="008A4E4B" w:rsidP="008A4E4B">
      <w:pPr>
        <w:pStyle w:val="BodyText"/>
        <w:rPr>
          <w:rFonts w:ascii="Inter" w:hAnsi="Inter"/>
          <w:bCs/>
        </w:rPr>
      </w:pPr>
      <w:r w:rsidRPr="00540591">
        <w:rPr>
          <w:rFonts w:ascii="Inter" w:hAnsi="Inter"/>
        </w:rPr>
        <w:t>* The court registry office staff member taking court is commonly known as the court taker and assists the judge to run the court and ensures the court lists and press sheets are available.</w:t>
      </w:r>
    </w:p>
    <w:p w14:paraId="2345E843" w14:textId="77777777" w:rsidR="008A4E4B" w:rsidRPr="00540591" w:rsidRDefault="008A4E4B" w:rsidP="008A4E4B">
      <w:pPr>
        <w:autoSpaceDE w:val="0"/>
        <w:autoSpaceDN w:val="0"/>
        <w:adjustRightInd w:val="0"/>
        <w:rPr>
          <w:rFonts w:cs="Arial"/>
          <w:b/>
          <w:szCs w:val="22"/>
        </w:rPr>
      </w:pPr>
      <w:r w:rsidRPr="00540591">
        <w:rPr>
          <w:rFonts w:cs="Arial"/>
          <w:b/>
          <w:szCs w:val="22"/>
        </w:rPr>
        <w:t>Task Three</w:t>
      </w:r>
    </w:p>
    <w:p w14:paraId="4BEC0CC9" w14:textId="0CA27F6B" w:rsidR="008A4E4B" w:rsidRPr="00540591" w:rsidRDefault="008A4E4B" w:rsidP="008A4E4B">
      <w:pPr>
        <w:autoSpaceDE w:val="0"/>
        <w:autoSpaceDN w:val="0"/>
        <w:adjustRightInd w:val="0"/>
        <w:rPr>
          <w:rFonts w:cs="Arial"/>
          <w:szCs w:val="22"/>
        </w:rPr>
      </w:pPr>
      <w:r w:rsidRPr="00540591">
        <w:rPr>
          <w:rFonts w:cs="Arial"/>
          <w:szCs w:val="22"/>
        </w:rPr>
        <w:t xml:space="preserve">As it happens Tim has more personal reasons for finding out more about litigation processes in New Zealand. Tim’s family is having a rough time at the moment. Tim’s </w:t>
      </w:r>
      <w:r w:rsidR="003D6826" w:rsidRPr="00540591">
        <w:rPr>
          <w:rFonts w:cs="Arial"/>
          <w:szCs w:val="22"/>
        </w:rPr>
        <w:t>twenty-year-old</w:t>
      </w:r>
      <w:r w:rsidRPr="00540591">
        <w:rPr>
          <w:rFonts w:cs="Arial"/>
          <w:szCs w:val="22"/>
        </w:rPr>
        <w:t xml:space="preserve"> brother, Alan, was arrested last week and charged with assault. As if this wasn’t bad enough, Tim’s father who owns a building company is being taken to court by a client for breach of contract. Tim understands that his father’s contract case will be dealt with differently from Alan’s assault case</w:t>
      </w:r>
      <w:r w:rsidR="003D6826">
        <w:rPr>
          <w:rFonts w:cs="Arial"/>
          <w:szCs w:val="22"/>
        </w:rPr>
        <w:t>,</w:t>
      </w:r>
      <w:r w:rsidRPr="00540591">
        <w:rPr>
          <w:rFonts w:cs="Arial"/>
          <w:szCs w:val="22"/>
        </w:rPr>
        <w:t xml:space="preserve"> but he’d like you to explain to him the following differences between civil and criminal law. Your description should make it clear to Tim how these differences will apply in both Alan’s case and in the case of his father’s building company.</w:t>
      </w:r>
    </w:p>
    <w:p w14:paraId="39B34892" w14:textId="77777777" w:rsidR="008A4E4B" w:rsidRPr="00540591" w:rsidRDefault="008A4E4B" w:rsidP="008A4E4B">
      <w:pPr>
        <w:numPr>
          <w:ilvl w:val="0"/>
          <w:numId w:val="14"/>
        </w:numPr>
        <w:autoSpaceDE w:val="0"/>
        <w:autoSpaceDN w:val="0"/>
        <w:adjustRightInd w:val="0"/>
        <w:ind w:left="357" w:hanging="357"/>
        <w:rPr>
          <w:rFonts w:cs="Arial"/>
          <w:szCs w:val="22"/>
        </w:rPr>
      </w:pPr>
      <w:r w:rsidRPr="00540591">
        <w:rPr>
          <w:rFonts w:cs="Arial"/>
          <w:szCs w:val="22"/>
        </w:rPr>
        <w:t>Subject matter</w:t>
      </w:r>
    </w:p>
    <w:p w14:paraId="2DF3E2CE" w14:textId="77777777" w:rsidR="008A4E4B" w:rsidRPr="00540591" w:rsidRDefault="008A4E4B" w:rsidP="008A4E4B">
      <w:pPr>
        <w:numPr>
          <w:ilvl w:val="0"/>
          <w:numId w:val="14"/>
        </w:numPr>
        <w:autoSpaceDE w:val="0"/>
        <w:autoSpaceDN w:val="0"/>
        <w:adjustRightInd w:val="0"/>
        <w:ind w:left="357" w:hanging="357"/>
        <w:rPr>
          <w:rFonts w:cs="Arial"/>
          <w:szCs w:val="22"/>
        </w:rPr>
      </w:pPr>
      <w:r w:rsidRPr="00540591">
        <w:rPr>
          <w:rFonts w:cs="Arial"/>
          <w:szCs w:val="22"/>
        </w:rPr>
        <w:t>Burden of proof</w:t>
      </w:r>
    </w:p>
    <w:p w14:paraId="0050C38B" w14:textId="77777777" w:rsidR="008A4E4B" w:rsidRPr="00540591" w:rsidRDefault="008A4E4B" w:rsidP="008A4E4B">
      <w:pPr>
        <w:numPr>
          <w:ilvl w:val="0"/>
          <w:numId w:val="14"/>
        </w:numPr>
        <w:autoSpaceDE w:val="0"/>
        <w:autoSpaceDN w:val="0"/>
        <w:adjustRightInd w:val="0"/>
        <w:ind w:left="357" w:hanging="357"/>
        <w:rPr>
          <w:rFonts w:cs="Arial"/>
          <w:szCs w:val="22"/>
        </w:rPr>
      </w:pPr>
      <w:r w:rsidRPr="00540591">
        <w:rPr>
          <w:rFonts w:cs="Arial"/>
          <w:szCs w:val="22"/>
        </w:rPr>
        <w:t>Standard of proof</w:t>
      </w:r>
    </w:p>
    <w:p w14:paraId="356A62A5" w14:textId="77777777" w:rsidR="008A4E4B" w:rsidRPr="00540591" w:rsidRDefault="008A4E4B" w:rsidP="008A4E4B">
      <w:pPr>
        <w:numPr>
          <w:ilvl w:val="0"/>
          <w:numId w:val="14"/>
        </w:numPr>
        <w:autoSpaceDE w:val="0"/>
        <w:autoSpaceDN w:val="0"/>
        <w:adjustRightInd w:val="0"/>
        <w:ind w:left="357" w:hanging="357"/>
        <w:rPr>
          <w:rFonts w:cs="Arial"/>
          <w:szCs w:val="22"/>
        </w:rPr>
      </w:pPr>
      <w:r w:rsidRPr="00540591">
        <w:rPr>
          <w:rFonts w:cs="Arial"/>
          <w:szCs w:val="22"/>
        </w:rPr>
        <w:t>Possible outcomes</w:t>
      </w:r>
    </w:p>
    <w:p w14:paraId="4D5721CB" w14:textId="77777777" w:rsidR="008A4E4B" w:rsidRDefault="008A4E4B" w:rsidP="008A4E4B">
      <w:pPr>
        <w:numPr>
          <w:ilvl w:val="0"/>
          <w:numId w:val="14"/>
        </w:numPr>
        <w:autoSpaceDE w:val="0"/>
        <w:autoSpaceDN w:val="0"/>
        <w:adjustRightInd w:val="0"/>
        <w:ind w:left="357" w:hanging="357"/>
        <w:rPr>
          <w:rFonts w:cs="Arial"/>
          <w:szCs w:val="22"/>
        </w:rPr>
      </w:pPr>
      <w:r w:rsidRPr="00540591">
        <w:rPr>
          <w:rFonts w:cs="Arial"/>
          <w:szCs w:val="22"/>
        </w:rPr>
        <w:t>Terminology used.</w:t>
      </w:r>
    </w:p>
    <w:p w14:paraId="22B84669" w14:textId="77777777" w:rsidR="008A4E4B" w:rsidRPr="00540591" w:rsidRDefault="008A4E4B" w:rsidP="008A4E4B">
      <w:pPr>
        <w:autoSpaceDE w:val="0"/>
        <w:autoSpaceDN w:val="0"/>
        <w:adjustRightInd w:val="0"/>
        <w:rPr>
          <w:rFonts w:cs="Arial"/>
          <w:b/>
          <w:bCs/>
          <w:szCs w:val="22"/>
        </w:rPr>
      </w:pPr>
      <w:r w:rsidRPr="00540591">
        <w:rPr>
          <w:rFonts w:cs="Arial"/>
          <w:b/>
          <w:bCs/>
          <w:szCs w:val="22"/>
        </w:rPr>
        <w:t>Task Four</w:t>
      </w:r>
    </w:p>
    <w:p w14:paraId="1271DF92" w14:textId="77777777" w:rsidR="008A4E4B" w:rsidRPr="00540591" w:rsidRDefault="008A4E4B" w:rsidP="008A4E4B">
      <w:pPr>
        <w:autoSpaceDE w:val="0"/>
        <w:autoSpaceDN w:val="0"/>
        <w:adjustRightInd w:val="0"/>
        <w:rPr>
          <w:rFonts w:cs="Arial"/>
          <w:szCs w:val="22"/>
        </w:rPr>
      </w:pPr>
      <w:r w:rsidRPr="00540591">
        <w:rPr>
          <w:rFonts w:cs="Arial"/>
          <w:szCs w:val="22"/>
        </w:rPr>
        <w:t>You need now to refer to actual cases and:</w:t>
      </w:r>
    </w:p>
    <w:p w14:paraId="359AAB12" w14:textId="77777777" w:rsidR="008A4E4B" w:rsidRPr="00540591" w:rsidRDefault="008A4E4B" w:rsidP="008A4E4B">
      <w:pPr>
        <w:numPr>
          <w:ilvl w:val="0"/>
          <w:numId w:val="14"/>
        </w:numPr>
        <w:autoSpaceDE w:val="0"/>
        <w:autoSpaceDN w:val="0"/>
        <w:adjustRightInd w:val="0"/>
        <w:ind w:left="357" w:hanging="357"/>
        <w:rPr>
          <w:rFonts w:cs="Arial"/>
          <w:szCs w:val="22"/>
        </w:rPr>
      </w:pPr>
      <w:r w:rsidRPr="00540591">
        <w:rPr>
          <w:rFonts w:cs="Arial"/>
          <w:szCs w:val="22"/>
        </w:rPr>
        <w:t>select and apply relevant supporting detail</w:t>
      </w:r>
    </w:p>
    <w:p w14:paraId="09A1B2E0" w14:textId="77777777" w:rsidR="008A4E4B" w:rsidRPr="00540591" w:rsidRDefault="008A4E4B" w:rsidP="008A4E4B">
      <w:pPr>
        <w:numPr>
          <w:ilvl w:val="0"/>
          <w:numId w:val="14"/>
        </w:numPr>
        <w:autoSpaceDE w:val="0"/>
        <w:autoSpaceDN w:val="0"/>
        <w:adjustRightInd w:val="0"/>
        <w:ind w:left="357" w:hanging="357"/>
        <w:rPr>
          <w:szCs w:val="22"/>
        </w:rPr>
      </w:pPr>
      <w:r w:rsidRPr="00540591">
        <w:rPr>
          <w:rFonts w:cs="Arial"/>
          <w:szCs w:val="22"/>
        </w:rPr>
        <w:t>compare civil</w:t>
      </w:r>
      <w:r w:rsidRPr="00540591">
        <w:rPr>
          <w:szCs w:val="22"/>
        </w:rPr>
        <w:t xml:space="preserve"> and criminal processes </w:t>
      </w:r>
      <w:r w:rsidRPr="00540591">
        <w:rPr>
          <w:rFonts w:cs="Arial"/>
          <w:szCs w:val="22"/>
        </w:rPr>
        <w:t xml:space="preserve">and </w:t>
      </w:r>
      <w:r w:rsidRPr="00540591">
        <w:rPr>
          <w:szCs w:val="22"/>
        </w:rPr>
        <w:t>draw clear conclusions.</w:t>
      </w:r>
    </w:p>
    <w:p w14:paraId="172B161A" w14:textId="4EC145EE" w:rsidR="008A4E4B" w:rsidRPr="00540591" w:rsidRDefault="008A4E4B" w:rsidP="008A4E4B">
      <w:pPr>
        <w:pStyle w:val="Heading2"/>
        <w:spacing w:before="120"/>
        <w:rPr>
          <w:rFonts w:ascii="Inter" w:hAnsi="Inter"/>
          <w:sz w:val="22"/>
          <w:szCs w:val="22"/>
        </w:rPr>
      </w:pPr>
      <w:r w:rsidRPr="008C7126">
        <w:rPr>
          <w:b/>
          <w:bCs/>
          <w:color w:val="005A69"/>
          <w:sz w:val="28"/>
          <w:szCs w:val="28"/>
        </w:rPr>
        <w:t>Resource requirements</w:t>
      </w:r>
    </w:p>
    <w:p w14:paraId="25A8A31A" w14:textId="50FEEC9C" w:rsidR="00C733E4" w:rsidRPr="003D6826" w:rsidRDefault="008A4E4B" w:rsidP="003D6826">
      <w:pPr>
        <w:rPr>
          <w:szCs w:val="22"/>
        </w:rPr>
      </w:pPr>
      <w:r w:rsidRPr="00540591">
        <w:rPr>
          <w:rFonts w:cs="Arial"/>
          <w:bCs/>
          <w:szCs w:val="22"/>
        </w:rPr>
        <w:t>There are no specific resource requirements for this assessment.</w:t>
      </w:r>
    </w:p>
    <w:sectPr w:rsidR="00C733E4" w:rsidRPr="003D6826"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9B01" w14:textId="77777777" w:rsidR="00723019" w:rsidRDefault="00723019" w:rsidP="00212C53">
      <w:r>
        <w:separator/>
      </w:r>
    </w:p>
  </w:endnote>
  <w:endnote w:type="continuationSeparator" w:id="0">
    <w:p w14:paraId="240E39D6" w14:textId="77777777" w:rsidR="00723019" w:rsidRDefault="00723019"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77FEB"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44B324C6" w14:textId="501F752F" w:rsidR="006528D8" w:rsidRDefault="006528D8" w:rsidP="006528D8">
    <w:pPr>
      <w:pStyle w:val="Footer"/>
      <w:ind w:right="360"/>
      <w:jc w:val="right"/>
    </w:pPr>
    <w:r>
      <w:tab/>
    </w:r>
    <w:r w:rsidR="008A4E4B">
      <w:t>27844</w:t>
    </w:r>
    <w:r>
      <w:t xml:space="preserve"> Ākonga/Learner Guidelines (Version 3)</w:t>
    </w:r>
    <w:r>
      <w:tab/>
    </w:r>
    <w:r w:rsidR="008A0FF0">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5AC6"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02051C46" w14:textId="03ADC01E" w:rsidR="006528D8" w:rsidRDefault="006528D8" w:rsidP="006528D8">
    <w:pPr>
      <w:pStyle w:val="Footer"/>
      <w:ind w:right="360"/>
      <w:jc w:val="right"/>
    </w:pPr>
    <w:r>
      <w:tab/>
    </w:r>
    <w:r w:rsidR="008A4E4B">
      <w:t>27844</w:t>
    </w:r>
    <w:r>
      <w:t xml:space="preserve"> Ākonga/Learner Guidelines (Version 3)</w:t>
    </w:r>
    <w:r>
      <w:tab/>
    </w:r>
    <w:r w:rsidR="008A0FF0">
      <w:t>December</w:t>
    </w:r>
    <w:r w:rsidRPr="008A0FF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91268" w14:textId="77777777" w:rsidR="00723019" w:rsidRDefault="00723019" w:rsidP="00212C53">
      <w:r>
        <w:separator/>
      </w:r>
    </w:p>
  </w:footnote>
  <w:footnote w:type="continuationSeparator" w:id="0">
    <w:p w14:paraId="203395C8" w14:textId="77777777" w:rsidR="00723019" w:rsidRDefault="00723019"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33CB" w14:textId="77777777" w:rsidR="003E0101" w:rsidRDefault="00196884">
    <w:pPr>
      <w:pStyle w:val="Header"/>
    </w:pPr>
    <w:r>
      <w:rPr>
        <w:noProof/>
      </w:rPr>
      <w:drawing>
        <wp:anchor distT="0" distB="0" distL="114300" distR="114300" simplePos="0" relativeHeight="251665408" behindDoc="0" locked="0" layoutInCell="1" allowOverlap="1" wp14:anchorId="6CD15708" wp14:editId="3604D168">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71E2543A" wp14:editId="12C61FEC">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55C3551C" wp14:editId="41A4EBBD">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479CB"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02CA1F40"/>
    <w:multiLevelType w:val="hybridMultilevel"/>
    <w:tmpl w:val="0A281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7C7F8A"/>
    <w:multiLevelType w:val="hybridMultilevel"/>
    <w:tmpl w:val="5CD60E66"/>
    <w:lvl w:ilvl="0" w:tplc="1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FF2AAB"/>
    <w:multiLevelType w:val="hybridMultilevel"/>
    <w:tmpl w:val="2E8E5F66"/>
    <w:lvl w:ilvl="0" w:tplc="14090017">
      <w:start w:val="1"/>
      <w:numFmt w:val="lowerLetter"/>
      <w:lvlText w:val="%1)"/>
      <w:lvlJc w:val="left"/>
      <w:pPr>
        <w:ind w:left="1434" w:hanging="360"/>
      </w:pPr>
      <w:rPr>
        <w:rFonts w:hint="default"/>
      </w:rPr>
    </w:lvl>
    <w:lvl w:ilvl="1" w:tplc="14090019" w:tentative="1">
      <w:start w:val="1"/>
      <w:numFmt w:val="lowerLetter"/>
      <w:lvlText w:val="%2."/>
      <w:lvlJc w:val="left"/>
      <w:pPr>
        <w:ind w:left="2154" w:hanging="360"/>
      </w:pPr>
    </w:lvl>
    <w:lvl w:ilvl="2" w:tplc="1409001B" w:tentative="1">
      <w:start w:val="1"/>
      <w:numFmt w:val="lowerRoman"/>
      <w:lvlText w:val="%3."/>
      <w:lvlJc w:val="right"/>
      <w:pPr>
        <w:ind w:left="2874" w:hanging="180"/>
      </w:pPr>
    </w:lvl>
    <w:lvl w:ilvl="3" w:tplc="1409000F" w:tentative="1">
      <w:start w:val="1"/>
      <w:numFmt w:val="decimal"/>
      <w:lvlText w:val="%4."/>
      <w:lvlJc w:val="left"/>
      <w:pPr>
        <w:ind w:left="3594" w:hanging="360"/>
      </w:pPr>
    </w:lvl>
    <w:lvl w:ilvl="4" w:tplc="14090019" w:tentative="1">
      <w:start w:val="1"/>
      <w:numFmt w:val="lowerLetter"/>
      <w:lvlText w:val="%5."/>
      <w:lvlJc w:val="left"/>
      <w:pPr>
        <w:ind w:left="4314" w:hanging="360"/>
      </w:pPr>
    </w:lvl>
    <w:lvl w:ilvl="5" w:tplc="1409001B" w:tentative="1">
      <w:start w:val="1"/>
      <w:numFmt w:val="lowerRoman"/>
      <w:lvlText w:val="%6."/>
      <w:lvlJc w:val="right"/>
      <w:pPr>
        <w:ind w:left="5034" w:hanging="180"/>
      </w:pPr>
    </w:lvl>
    <w:lvl w:ilvl="6" w:tplc="1409000F" w:tentative="1">
      <w:start w:val="1"/>
      <w:numFmt w:val="decimal"/>
      <w:lvlText w:val="%7."/>
      <w:lvlJc w:val="left"/>
      <w:pPr>
        <w:ind w:left="5754" w:hanging="360"/>
      </w:pPr>
    </w:lvl>
    <w:lvl w:ilvl="7" w:tplc="14090019" w:tentative="1">
      <w:start w:val="1"/>
      <w:numFmt w:val="lowerLetter"/>
      <w:lvlText w:val="%8."/>
      <w:lvlJc w:val="left"/>
      <w:pPr>
        <w:ind w:left="6474" w:hanging="360"/>
      </w:pPr>
    </w:lvl>
    <w:lvl w:ilvl="8" w:tplc="1409001B" w:tentative="1">
      <w:start w:val="1"/>
      <w:numFmt w:val="lowerRoman"/>
      <w:lvlText w:val="%9."/>
      <w:lvlJc w:val="right"/>
      <w:pPr>
        <w:ind w:left="7194" w:hanging="180"/>
      </w:pPr>
    </w:lvl>
  </w:abstractNum>
  <w:abstractNum w:abstractNumId="4"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5"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6"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7"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9"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10" w15:restartNumberingAfterBreak="0">
    <w:nsid w:val="3DDF4FB0"/>
    <w:multiLevelType w:val="hybridMultilevel"/>
    <w:tmpl w:val="9C40B9DE"/>
    <w:lvl w:ilvl="0" w:tplc="4D901A28">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12"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3"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DEB1A30"/>
    <w:multiLevelType w:val="hybridMultilevel"/>
    <w:tmpl w:val="9B8A8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452B9"/>
    <w:multiLevelType w:val="hybridMultilevel"/>
    <w:tmpl w:val="A0C8A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2752652">
    <w:abstractNumId w:val="6"/>
  </w:num>
  <w:num w:numId="2" w16cid:durableId="1757289451">
    <w:abstractNumId w:val="5"/>
  </w:num>
  <w:num w:numId="3" w16cid:durableId="1892644055">
    <w:abstractNumId w:val="7"/>
  </w:num>
  <w:num w:numId="4" w16cid:durableId="1519078603">
    <w:abstractNumId w:val="11"/>
  </w:num>
  <w:num w:numId="5" w16cid:durableId="1277712777">
    <w:abstractNumId w:val="4"/>
  </w:num>
  <w:num w:numId="6" w16cid:durableId="1187595443">
    <w:abstractNumId w:val="12"/>
  </w:num>
  <w:num w:numId="7" w16cid:durableId="791745894">
    <w:abstractNumId w:val="9"/>
  </w:num>
  <w:num w:numId="8" w16cid:durableId="268662088">
    <w:abstractNumId w:val="0"/>
  </w:num>
  <w:num w:numId="9" w16cid:durableId="1100564826">
    <w:abstractNumId w:val="8"/>
  </w:num>
  <w:num w:numId="10" w16cid:durableId="271321859">
    <w:abstractNumId w:val="13"/>
  </w:num>
  <w:num w:numId="11" w16cid:durableId="347682750">
    <w:abstractNumId w:val="2"/>
  </w:num>
  <w:num w:numId="12" w16cid:durableId="1846286909">
    <w:abstractNumId w:val="10"/>
  </w:num>
  <w:num w:numId="13" w16cid:durableId="1327243542">
    <w:abstractNumId w:val="3"/>
  </w:num>
  <w:num w:numId="14" w16cid:durableId="1299338377">
    <w:abstractNumId w:val="1"/>
  </w:num>
  <w:num w:numId="15" w16cid:durableId="1077633244">
    <w:abstractNumId w:val="15"/>
  </w:num>
  <w:num w:numId="16" w16cid:durableId="1386638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4B"/>
    <w:rsid w:val="000033E1"/>
    <w:rsid w:val="000123E2"/>
    <w:rsid w:val="00025A77"/>
    <w:rsid w:val="000816D8"/>
    <w:rsid w:val="00093118"/>
    <w:rsid w:val="000B4C74"/>
    <w:rsid w:val="000D22C4"/>
    <w:rsid w:val="000D40D0"/>
    <w:rsid w:val="000D5D7D"/>
    <w:rsid w:val="00127DE3"/>
    <w:rsid w:val="00130C42"/>
    <w:rsid w:val="00131918"/>
    <w:rsid w:val="00160071"/>
    <w:rsid w:val="00177720"/>
    <w:rsid w:val="00180B75"/>
    <w:rsid w:val="00180FFE"/>
    <w:rsid w:val="001963B2"/>
    <w:rsid w:val="00196884"/>
    <w:rsid w:val="001A4012"/>
    <w:rsid w:val="001B34B5"/>
    <w:rsid w:val="001D1125"/>
    <w:rsid w:val="001F3961"/>
    <w:rsid w:val="002030CB"/>
    <w:rsid w:val="00212C53"/>
    <w:rsid w:val="00235FFE"/>
    <w:rsid w:val="00255CB9"/>
    <w:rsid w:val="002A28C7"/>
    <w:rsid w:val="002B5095"/>
    <w:rsid w:val="002C0648"/>
    <w:rsid w:val="002D5392"/>
    <w:rsid w:val="002E51C3"/>
    <w:rsid w:val="00321E8C"/>
    <w:rsid w:val="00327810"/>
    <w:rsid w:val="0034462F"/>
    <w:rsid w:val="003465C7"/>
    <w:rsid w:val="00374299"/>
    <w:rsid w:val="0039206F"/>
    <w:rsid w:val="003B309B"/>
    <w:rsid w:val="003B690D"/>
    <w:rsid w:val="003D6826"/>
    <w:rsid w:val="003E0101"/>
    <w:rsid w:val="003F2386"/>
    <w:rsid w:val="003F73CB"/>
    <w:rsid w:val="0043721A"/>
    <w:rsid w:val="00474691"/>
    <w:rsid w:val="00495CB8"/>
    <w:rsid w:val="004B365D"/>
    <w:rsid w:val="004F5058"/>
    <w:rsid w:val="00530F18"/>
    <w:rsid w:val="00535E6A"/>
    <w:rsid w:val="00556671"/>
    <w:rsid w:val="00571492"/>
    <w:rsid w:val="00584C47"/>
    <w:rsid w:val="005A3C62"/>
    <w:rsid w:val="005A46DF"/>
    <w:rsid w:val="005C77DB"/>
    <w:rsid w:val="005D0EE6"/>
    <w:rsid w:val="005F2267"/>
    <w:rsid w:val="005F5318"/>
    <w:rsid w:val="006212B8"/>
    <w:rsid w:val="0063501F"/>
    <w:rsid w:val="00644755"/>
    <w:rsid w:val="006528D8"/>
    <w:rsid w:val="00670A9E"/>
    <w:rsid w:val="00692343"/>
    <w:rsid w:val="00694D70"/>
    <w:rsid w:val="006B171A"/>
    <w:rsid w:val="006C0AAD"/>
    <w:rsid w:val="006D4936"/>
    <w:rsid w:val="006E7482"/>
    <w:rsid w:val="006F1959"/>
    <w:rsid w:val="00723019"/>
    <w:rsid w:val="007372F6"/>
    <w:rsid w:val="0076628A"/>
    <w:rsid w:val="00770474"/>
    <w:rsid w:val="007775D7"/>
    <w:rsid w:val="007823F7"/>
    <w:rsid w:val="00783933"/>
    <w:rsid w:val="007844FA"/>
    <w:rsid w:val="0078728E"/>
    <w:rsid w:val="00813834"/>
    <w:rsid w:val="00851D3B"/>
    <w:rsid w:val="008520F9"/>
    <w:rsid w:val="008537DC"/>
    <w:rsid w:val="0086703C"/>
    <w:rsid w:val="00873EEC"/>
    <w:rsid w:val="008974D5"/>
    <w:rsid w:val="008A0FF0"/>
    <w:rsid w:val="008A142C"/>
    <w:rsid w:val="008A4E4B"/>
    <w:rsid w:val="008C5F06"/>
    <w:rsid w:val="008C7126"/>
    <w:rsid w:val="008E5B7D"/>
    <w:rsid w:val="00966D59"/>
    <w:rsid w:val="009A530F"/>
    <w:rsid w:val="009B17EE"/>
    <w:rsid w:val="009C5E61"/>
    <w:rsid w:val="009E7419"/>
    <w:rsid w:val="009E78FB"/>
    <w:rsid w:val="009F090F"/>
    <w:rsid w:val="009F2A31"/>
    <w:rsid w:val="009F7B90"/>
    <w:rsid w:val="00A01F7A"/>
    <w:rsid w:val="00A07B7D"/>
    <w:rsid w:val="00A4191F"/>
    <w:rsid w:val="00A4538A"/>
    <w:rsid w:val="00A53971"/>
    <w:rsid w:val="00A81BBF"/>
    <w:rsid w:val="00A85F2A"/>
    <w:rsid w:val="00A91958"/>
    <w:rsid w:val="00AB1B93"/>
    <w:rsid w:val="00AE319F"/>
    <w:rsid w:val="00B23E50"/>
    <w:rsid w:val="00B7065A"/>
    <w:rsid w:val="00B87B46"/>
    <w:rsid w:val="00B949EB"/>
    <w:rsid w:val="00BA5F91"/>
    <w:rsid w:val="00BC0C54"/>
    <w:rsid w:val="00C466B7"/>
    <w:rsid w:val="00C646F8"/>
    <w:rsid w:val="00C733E4"/>
    <w:rsid w:val="00CA56DD"/>
    <w:rsid w:val="00D10F8E"/>
    <w:rsid w:val="00D14F3A"/>
    <w:rsid w:val="00D5505E"/>
    <w:rsid w:val="00D6650A"/>
    <w:rsid w:val="00D84BE7"/>
    <w:rsid w:val="00D92276"/>
    <w:rsid w:val="00DC3416"/>
    <w:rsid w:val="00DD30BE"/>
    <w:rsid w:val="00DE23AB"/>
    <w:rsid w:val="00DF7567"/>
    <w:rsid w:val="00E22D09"/>
    <w:rsid w:val="00E5065A"/>
    <w:rsid w:val="00E86401"/>
    <w:rsid w:val="00EA116A"/>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DD317"/>
  <w15:chartTrackingRefBased/>
  <w15:docId w15:val="{A45C5887-24F7-4858-A033-FD715C23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B551AAD575535C4E93EAD64C62F9228B" ma:contentTypeVersion="66" ma:contentTypeDescription="Create a new document." ma:contentTypeScope="" ma:versionID="4fdbfff8e73bca7745137e01c642ff33">
  <xsd:schema xmlns:xsd="http://www.w3.org/2001/XMLSchema" xmlns:xs="http://www.w3.org/2001/XMLSchema" xmlns:p="http://schemas.microsoft.com/office/2006/metadata/properties" xmlns:ns2="6068b734-9082-4a39-a91f-7b5bc4a25c8f" xmlns:ns3="4f9c820c-e7e2-444d-97ee-45f2b3485c1d" xmlns:ns4="15ffb055-6eb4-45a1-bc20-bf2ac0d420da" xmlns:ns5="725c79e5-42ce-4aa0-ac78-b6418001f0d2" xmlns:ns6="c91a514c-9034-4fa3-897a-8352025b26ed" xmlns:ns7="d0b61010-d6f3-4072-b934-7bbb13e97771" xmlns:ns8="9041ebba-a81c-4d56-bb33-df1ee4123f66" xmlns:ns9="17d8922c-a61f-43d3-b83e-4cfbb4051fb9" xmlns:ns10="a5234b65-aa2e-4883-a945-9c100bdb229f" targetNamespace="http://schemas.microsoft.com/office/2006/metadata/properties" ma:root="true" ma:fieldsID="7919a91a4fc828b330697bff115f857b" ns2:_="" ns3:_="" ns4:_="" ns5:_="" ns6:_="" ns7:_="" ns8:_="" ns9:_="" ns10:_="">
    <xsd:import namespace="6068b734-9082-4a39-a91f-7b5bc4a25c8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9041ebba-a81c-4d56-bb33-df1ee4123f66"/>
    <xsd:import namespace="17d8922c-a61f-43d3-b83e-4cfbb4051fb9"/>
    <xsd:import namespace="a5234b65-aa2e-4883-a945-9c100bdb22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2:MāoriActivity" minOccurs="0"/>
                <xsd:element ref="ns2:MāoriFunction" minOccurs="0"/>
                <xsd:element ref="ns8:VersionComments" minOccurs="0"/>
                <xsd:element ref="ns8:ManagerConfidential" minOccurs="0"/>
                <xsd:element ref="ns9:FunctionGroup"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b734-9082-4a39-a91f-7b5bc4a25c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44" nillable="true" ma:displayName="Māori Activity" ma:default="NA" ma:internalName="M_x0101_oriActivity" ma:readOnly="false">
      <xsd:simpleType>
        <xsd:restriction base="dms:Text">
          <xsd:maxLength value="255"/>
        </xsd:restriction>
      </xsd:simpleType>
    </xsd:element>
    <xsd:element name="MāoriFunction" ma:index="45" nillable="true" ma:displayName="Māori Function" ma:default="" ma:internalName="M_x0101_oriFunction">
      <xsd:simpleType>
        <xsd:restriction base="dms:Text">
          <xsd:maxLength value="255"/>
        </xsd:restriction>
      </xsd:simpleType>
    </xsd:element>
    <xsd:element name="TaxCatchAll" ma:index="59" nillable="true" ma:displayName="Taxonomy Catch All Column" ma:hidden="true" ma:list="{dfc664d3-a865-4cea-a734-884c35dad3b9}" ma:internalName="TaxCatchAll" ma:showField="CatchAllData" ma:web="6068b734-9082-4a39-a91f-7b5bc4a25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XT - National Qualifications Servic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03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VersionComments" ma:index="46" nillable="true" ma:displayName="Version Comments" ma:internalName="VersionComments" ma:readOnly="false">
      <xsd:simpleType>
        <xsd:restriction base="dms:Note">
          <xsd:maxLength value="255"/>
        </xsd:restriction>
      </xsd:simpleType>
    </xsd:element>
    <xsd:element name="ManagerConfidential" ma:index="47" nillable="true" ma:displayName="Manager Confidential" ma:default="NA" ma:hidden="true" ma:internalName="ManagerConfidenti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48" nillable="true" ma:displayName="Function Group" ma:default="Active" ma:format="Dropdown" ma:hidden="true" ma:internalName="FunctionGroup" ma:readOnly="false">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a5234b65-aa2e-4883-a945-9c100bdb229f"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38AC4-C135-4D8B-9AC0-25D6995C7C44}"/>
</file>

<file path=customXml/itemProps2.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3.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4.xml><?xml version="1.0" encoding="utf-8"?>
<ds:datastoreItem xmlns:ds="http://schemas.openxmlformats.org/officeDocument/2006/customXml" ds:itemID="{C57F47D3-F1B8-490F-8CA1-CC92BFB6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b734-9082-4a39-a91f-7b5bc4a25c8f"/>
    <ds:schemaRef ds:uri="4f9c820c-e7e2-444d-97ee-45f2b3485c1d"/>
    <ds:schemaRef ds:uri="15ffb055-6eb4-45a1-bc20-bf2ac0d420da"/>
    <ds:schemaRef ds:uri="725c79e5-42ce-4aa0-ac78-b6418001f0d2"/>
    <ds:schemaRef ds:uri="c91a514c-9034-4fa3-897a-8352025b26ed"/>
    <ds:schemaRef ds:uri="d0b61010-d6f3-4072-b934-7bbb13e97771"/>
    <ds:schemaRef ds:uri="9041ebba-a81c-4d56-bb33-df1ee4123f66"/>
    <ds:schemaRef ds:uri="17d8922c-a61f-43d3-b83e-4cfbb4051fb9"/>
    <ds:schemaRef ds:uri="a5234b65-aa2e-4883-a945-9c100bdb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40945-F36A-4104-A922-6276B4EC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17</TotalTime>
  <Pages>3</Pages>
  <Words>726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12</cp:revision>
  <cp:lastPrinted>2023-12-04T02:23:00Z</cp:lastPrinted>
  <dcterms:created xsi:type="dcterms:W3CDTF">2024-12-03T00:37:00Z</dcterms:created>
  <dcterms:modified xsi:type="dcterms:W3CDTF">2024-12-16T20:01:00Z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8f68e3cc-dd67-4f17-825a-79c14b01962b</vt:lpwstr>
  </property>
</Properties>
</file>